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594 vom 16. August 2016</w:t>
      </w:r>
    </w:p>
    <w:p>
      <w:r>
        <w:t>VD Tribunal cantonal, 2016-08-16, FR</w:t>
      </w:r>
    </w:p>
    <w:p>
      <w:r>
        <w:rPr>
          <w:b/>
        </w:rPr>
        <w:t xml:space="preserve">Quelle: </w:t>
      </w:r>
      <w:r>
        <w:t>https://mcp.opencaselaw.ch/entscheid/vd_findinfo_HC___2016___594</w:t>
      </w:r>
    </w:p>
    <w:p>
      <w:r>
        <w:t>FR: VD_FINDINFO HC / 2016 / 594 du 16 août 2016</w:t>
      </w:r>
    </w:p>
    <w:p>
      <w:r>
        <w:t>IT: VD_FINDINFO HC / 2016 / 594 del 16 agosto 2016</w:t>
      </w:r>
    </w:p>
    <w:p>
      <w:pPr>
        <w:pStyle w:val="Heading2"/>
      </w:pPr>
      <w:r>
        <w:t>Regeste</w:t>
      </w:r>
    </w:p>
    <w:p>
      <w:r>
        <w:t>MESURE PROVISIONNELLE, ACTION EN PAIEMENT D'ENTRETIEN, OBLIGATION D'ENTRETIEN, MAJORITÉ{ÂGE}, ENFANT, MINIMUM VITAL, FAMILLE, REMARIAGE | 277 al. 2 CC, 285 CC</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(art. 311 al. 1 CPC) par une partie qui y a un intérêt (art. 59 al.</w:t>
      </w:r>
    </w:p>
    <w:p>
      <w:r>
        <w:rPr>
          <w:b/>
        </w:rPr>
        <w:t>E. 2</w:t>
      </w:r>
    </w:p>
    <w:p>
      <w:r>
        <w:t>let. a CPC), dans une cause patrimoniale dont la valeur litigieuse, capitalisée selon le prescrit de l’art. 92 al. 1 CPC,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op. cit., p. 135).</w:t>
      </w:r>
    </w:p>
    <w:p>
      <w:r>
        <w:rPr>
          <w:b/>
        </w:rPr>
        <w:t>E. 2.2</w:t>
      </w:r>
    </w:p>
    <w:p>
      <w:r>
        <w:t>Les mesures provisionnelles ou les mesures protectrices de l’union conjugale étant soumises à la procédure sommaire, la cognition est limitée à la simple vraisemblance des faits et à un examen sommaire du droit. Il suffit que les faits soient rendus simplement vraisemblables (Hohl, Procédure civile, Tome II, 2 e éd.,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consid. 3.4). Ainsi, dans le cadre de mesures provisionnelles ou de mesures protectrices de l'union conjugale, le juge statue sur la base de la simple vraisemblance après une administration limitée des preuves (ATF 120 Il 352 consid. 2b ; 127 III 474 consid. 2b/bb ; TF 5A_661/2011 du 10 février 2012 consid. 2.3), en se fondant sur les moyens de preuve immédiatement disponibles (ATF 131 III 473 consid. 2.3 in limine ; TF 5A_360/2015 du 13 août 2015 consid. 3.2.2 et les arrêts cités).</w:t>
      </w:r>
    </w:p>
    <w:p>
      <w:r>
        <w:rPr>
          <w:b/>
        </w:rPr>
        <w:t>E. 2.3.1</w:t>
      </w:r>
    </w:p>
    <w:p>
      <w:r>
        <w:t>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w:t>
      </w:r>
    </w:p>
    <w:p>
      <w:r>
        <w:rPr>
          <w:b/>
        </w:rPr>
        <w:t>E. 2.3.2</w:t>
      </w:r>
    </w:p>
    <w:p>
      <w:r>
        <w:t>En l’occurrence, la Juge déléguée de céans a requis la production en mains de l’Office vaudois de l’assurance-maladie (OVAM) de sa décision concernant des éventuels subsides octroyés à l’intimée pour le paiement de sa prime d’assurance-maladie. Dite décision a été transmise aux parties qui ont eu l’opportunité de se déterminer à son sujet.</w:t>
      </w:r>
    </w:p>
    <w:p>
      <w:r>
        <w:rPr>
          <w:b/>
        </w:rPr>
        <w:t>E. 2.4.1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références citées).</w:t>
      </w:r>
    </w:p>
    <w:p>
      <w:r>
        <w:rPr>
          <w:b/>
        </w:rPr>
        <w:t>E. 2.4.2</w:t>
      </w:r>
    </w:p>
    <w:p>
      <w:r>
        <w:t>En l’espèce, les pièces 1 et 2 produites par l’appelant sont des pièces dites de forme, de sorte qu’elles sont recevables. Quant à la pièce 3, soit une fiche de salaire du mois de février 2016, elle est antérieure à l’audience du 7 mars 2016 et doit donc être déclarée irrecevable. A l’audience d’appel, A.P.________ a également produit un bordereau de pièce contenant une correspondance du [...] du 11 mai 2016 et ses annexes. Cette pièce étant postérieure à l’audience de mesures provisionnelles de première instance, elle doit être déclarée recevable. La Juge déléguée de céans a rejeté la réquisition d’audition en tant que témoin de C.P.________ proposée par l’appelant en estimant que cela n’était pas nécessaire à l’établissement des faits et que les déclarations des parties étaient suffisantes. S’agissant des pièces produites par l’intimée, les pièces 102, 104 et 106 sont recevables dans la mesure où elles sont postérieures à l’audience de première instance du 7 mars 2016. La pièce 103 constitue un fait notoire, conformément à la jurisprudence, ces données pouvant être contrôlées par chacun sur internet (ATF 137 III 623 consid. 3 ; TF 5A_561/2011 du 19 mars 2012, consid. 5.3, in RSPC 2012 p. 290). Les pièces 101 et 105, datées respectivement du 1 er mars 2016 et du 17 février 2016, soit antérieurement à l’audience de mesures provisionnelles, doivent être déclarées irrecevables dans la mesure où l’intimée n’explique pas les raisons pour lesquelles elle aurait été dans l’impossibilité de les produire préalablement.</w:t>
      </w:r>
    </w:p>
    <w:p>
      <w:r>
        <w:rPr>
          <w:b/>
        </w:rPr>
        <w:t>E. 3.1</w:t>
      </w:r>
    </w:p>
    <w:p>
      <w:r>
        <w:t>Dans un premier grief, l’appelant se plaint du refus injustifié de restitution de délai du premier juge quant à son défaut à l’audience du 7 mars 2016, invoquant que si une nouvelle audience avait été agendée, sa comparution personnelle lui aurait permis de s’expliquer quant à l’absence de relations personnelles avec sa fille, ce qui aurait amené le premier juge a rejeté la requête de mesures provisionnelles de B.P.________.</w:t>
      </w:r>
    </w:p>
    <w:p>
      <w:r>
        <w:rPr>
          <w:b/>
        </w:rPr>
        <w:t>E. 3.2.1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w:t>
      </w:r>
    </w:p>
    <w:p>
      <w:r>
        <w:rPr>
          <w:b/>
        </w:rPr>
        <w:t>E. 3.2.2</w:t>
      </w:r>
    </w:p>
    <w:p>
      <w:r>
        <w:t>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135 II 286 consid. 5.1). S’agissant d’une garantie constitutionnelle de nature formelle, sa violation entraîne l'annulation de la décision attaquée, sans égard aux chances de succès du recours sur le fond (ATF 133 I 201 consid. 2.2 ;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3.3</w:t>
      </w:r>
    </w:p>
    <w:p>
      <w:r>
        <w:t>En l’espèce, l’appelant a été cité à comparaître personnellement à l’audience de mesures provisionnelles de première instance, mais ne s’y est pas présenté. Il était cependant valablement représenté par son conseil, de sorte qu’il a pu faire valoir l’ensemble de ses moyens par son intermédiaire. Pour le surplus, l’appelant était présent personnellement lors de l’audience d’appel et a, par conséquent, également pu s’exprimer sur la cause devant la Juge déléguée de céans en complément de son mémoire d’appel. Le grief de l’appelant est infondé.</w:t>
      </w:r>
    </w:p>
    <w:p>
      <w:r>
        <w:rPr>
          <w:b/>
        </w:rPr>
        <w:t>E. 3.4</w:t>
      </w:r>
    </w:p>
    <w:p>
      <w:r>
        <w:t>, cité par Meier/Stettler, op. cit., n. 1036 et note infrapaginale 2363 ; Juge délégué CACI 24 août 2015/438 ; CACI 22 juin 2015/265 consid. 5.1.1 ).</w:t>
      </w:r>
    </w:p>
    <w:p>
      <w:r>
        <w:rPr>
          <w:b/>
        </w:rPr>
        <w:t>E. 4.1</w:t>
      </w:r>
    </w:p>
    <w:p>
      <w:r>
        <w:t>L’appelant soutient que l’absence de relations personnelles entre lui et sa fille résulterait uniquement du fait de l’intimée.</w:t>
      </w:r>
    </w:p>
    <w:p>
      <w:r>
        <w:rPr>
          <w:b/>
        </w:rPr>
        <w:t>E. 4.2</w:t>
      </w:r>
    </w:p>
    <w:p>
      <w:r>
        <w:t>L’art. 277 al. 2 CC pose les conditions de l’obligation d’entretien des père et mère à l’égard de leur enfant majeur poursuivant sa formation. Cette obligation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consid. 2) ; l’enfant doit avoir violé gravement (ATF 111 II 410 consid. 2) les devoirs qui lui incombent en vertu de l’art. 272 CC, et dans le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consid. 2 ; ATF 120 II 177 consid. 3c et les arrêts cités ; TF 5A_560/2011 du 25 novembre 2011 consid. 4.1.1 ; TF 5A_464/2008 du 15 décembre 2008 consid. 3.1 ; TF 5C_205/2004 du 8 novembre 2004 consid. 5.1, in FamPra.ch 2005 p. 414).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consid. 4 ; ATF 117 II 127 consid. 3b ; ATF 129 III 375 consid. 4.2 ; TF 5A_560/2011 du 25 novembre 2011 consid. 4.1.1, in FamPra.ch 2012 p. 496 ; TF 5A_464/2008 du 15 décembre 2008 consid. 3.1 ; TF 5C_205/2004 du 8 novembre 2004 consid. 5.1, in FamPra.ch 2005 p. 414). Il en résulte que, pour justifier un refus d’entretien, l’enfant doit encourir la responsabilité exclusive de la rupture des relations personnelles et cette responsabilité doit pouvoir lui être imputée à faute (5A_503/2012 du 4 décembre 2012 consid. 4.2, in FamPra.ch 2013 p. 525 ; TF 5A_805/2011 du 26 janvier 2012 consid. 2 ; ATF 113 II 374 consid. 2). Dans ce domaine, le juge jouit d’un large pouvoir d’appréciation (ATF 127 III 136 consid. 3a ; ATF 120 II 285 consid. 3b/bb ; TF 5A_207/2007 du 23 avril 2008 consid. 5.1). Il applique les règles du droit et de l’équité (art. 4 CC ; Hegnauer, Berner Kommentar, 4 e éd., 1997, n. 89 ad art. 277 CC).</w:t>
      </w:r>
    </w:p>
    <w:p>
      <w:r>
        <w:rPr>
          <w:b/>
        </w:rPr>
        <w:t>E. 4.3</w:t>
      </w:r>
    </w:p>
    <w:p>
      <w:r>
        <w:t>En l’espèce, il n’apparaît pas, au stade de la vraisemblance, que l’intimée est la seule responsable de la rupture des relations personnelles entre elle-même et son père. L’appelant s’est remarié et a fondé une nouvelle famille, ce qui peut être de nature à aggraver les tensions entre le père et sa fille causées par le divorce. Or, comme le prévoit la jurisprudence, il doit être tenu compte des réactions de l’enfant majeure face au divorce de ses parents et des tensions que cela peut contribuer à créer au sein de la famille. Il s’ensuit que le grief de l’appelant tiré de l’absence de relations personnelles doit être rejeté.</w:t>
      </w:r>
    </w:p>
    <w:p>
      <w:r>
        <w:rPr>
          <w:b/>
        </w:rPr>
        <w:t>E. 5.1</w:t>
      </w:r>
    </w:p>
    <w:p>
      <w:r>
        <w:t>L’appelant remet ensuite en cause les montants retenus par le premier juge pour fixer la contribution d’entretien en faveur de l’intimée. Il conteste notamment la réduction de ses charges de moitié, ainsi que les charges de l’intimée. Il relève qu’il n’existe en l’espèce aucune urgence particulière, l’intimée n’ayant pas démontré en quoi les mesures provisionnelles étaient de nature à causer un quelconque dommage.</w:t>
      </w:r>
    </w:p>
    <w:p>
      <w:r>
        <w:rPr>
          <w:b/>
        </w:rPr>
        <w:t>E. 5.2.1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w:t>
      </w:r>
    </w:p>
    <w:p>
      <w:r>
        <w:rPr>
          <w:b/>
        </w:rPr>
        <w:t>E. 5.2.2</w:t>
      </w:r>
    </w:p>
    <w:p>
      <w:r>
        <w:t>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La loi ne prescrit pas de méthode de calcul particulière pour arrêter la contribution d’entretien (ATF 128 III 411 consid. 3.2.2) ; sa fixation relève de l’appréciation du juge, qui jouit d’un large pouvoir d’appréciation et applique les règles du droit et de l’équité (art. 4 CC ; TF 5A_330/2014 du 30 octobre 2014 consid. 4 ; TF 5A_186/2012 du 28 juin 2012 consid.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consid. 4 et les références citées).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 330/2014 du 30 octobre 2014 consid. 8.2.1 ; TF 5A_186/2012 du 28 juin 2012 consid. 6.2.1). Le soutien financier des père et mère ne peut se justifier que dans le cas où l’enfant ne dispose pas lui-même des ressources nécessaires pour assumer ses besoins courants et les frais engendrés par sa formation. Son autonomie partielle ou complète peut notamment découler du produit de l’activité lucrative qu’il est en mesure d’exercer parallèlement à la poursuite de sa formation, des biens acquis au cours de la minorité ou encore des allocations et des bourses d’études indépendantes de la situation patrimoniale des parents (Meier/Stettler, Droit de la filiation, 5 e éd., 2014 , n. 1210 p. 794 s). La jurisprudence a retenu que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943 p. 543). S'agissant de la prise en compte des revenus de l'enfant, le Tribunal fédéral a imputé la paie d'apprenti à raison de 50% la première année, 60% la deuxième année et 100% la troisième année (TF 5C.106/2004 du 5 juillet 2004 consid.</w:t>
      </w:r>
    </w:p>
    <w:p>
      <w:r>
        <w:rPr>
          <w:b/>
        </w:rPr>
        <w:t>E. 5.3</w:t>
      </w:r>
    </w:p>
    <w:p>
      <w:r>
        <w:t>L’entretien de l’enfant majeur passe après les autres obligations d’entretien qu’il s’agisse des prestations dues à l’enfant mineur ou au conjoint (ATF 132 III 209 ; Meier/Stettler, op. cit., n. 1063, p. 701 et les nombreuses références). Le Tribunal fédéral a posé le principe qu’on ne peut exiger d’un parent qu’il subvienne à l’entretien de son enfant majeur que si, après versement de cette contribution, le débiteur dispose encore d’un revenu dépassant d’environ 20 % son minimum vital au sens large (ATF 127 I 202 consid. 3e, 118 II 97 consid. 4b/aa). La capacité contributive doit être appréciée en fonction des charges effectives du débirentier, étant précisé que seuls les montants réellement acquittés – exempts de toute majoration – peuvent être pris en considération (ATF 121 III 20 consid. 3a). Dans sa jurisprudence récente, le Tribunal fédéral a considéré que la majoration de 20 % ne s’appliquait qu’à la seule base mensuelle du débirentier et non aux autres postes du minimum vital (TF 5A_785/2010 du 30 juin 2011 consid. 4.1 ; CACI 30 mai 2016/212). Les allocations familiales affectées exclusivement à l’entretien de l’enfant ne sont pas prises en compte dans le calcul du revenu du parent qui les reçoit. Elles sont cependant retranchées du coût d’entretien de l’enfant (ATF 137 III 59 consid. 4.2.3 ; De Luze/Page/Stoudmann, op. cit., n. 2.1 ad art. 285 CC). Il en va de même s’agissant de l’enfant majeur et des allocations de formation professionnelle qu’il perçoit (TF 5A_207/2011 du 26 septembre 2011 consid. 4.3)</w:t>
      </w:r>
    </w:p>
    <w:p>
      <w:r>
        <w:rPr>
          <w:b/>
        </w:rPr>
        <w:t>E. 5.4.1</w:t>
      </w:r>
    </w:p>
    <w:p>
      <w:r>
        <w:t>En l’espèce, l’appelant est remarié à C.P.________. Deux enfants mineurs sont issus de cette union, le [...] 2007 pour le premier (9 ans) et le [...] 2011 pour le second (5 ans). L’épouse de l’appelant, qui n’exerce aucune activité lucrative, est également mère d’une enfant issue d’une précédente union, F.________, née le [...] 2000. Le revenu mensuel de l’appelant est de 4'887 fr. 40, allocations familiales non comprises.</w:t>
      </w:r>
    </w:p>
    <w:p>
      <w:r>
        <w:rPr>
          <w:b/>
        </w:rPr>
        <w:t>E. 5.4.2.1</w:t>
      </w:r>
    </w:p>
    <w:p>
      <w:r>
        <w:t>Il a été retenu par le premier juge que l’instruction n’a pas permis de démontrer les raisons pour lesquelles la nouvelle épouse de l’appelant n’exerce aucune activité professionnelle et si cette dernière pourrait, cas échéant, augmenter sa capacité contributive conformément à son devoir d’assistance. Or, il est de jurisprudence constante que l’on ne peut pas exiger d'un époux la prise ou la reprise d'une activité lucrative à un taux de 50 % avant que le plus jeune des enfants ait atteint l'âge de 10 ans révolus, et de 100 % avant qu'il ait atteint l'âge de 16 ans révolus (ATF 115 II 6 consid. 3c ; ATF 137 III 102 consid. 4.2.2.2). Dans la mesure où l’épouse n’exerce aucune activité lucrative et que l’on ne peut pas exiger d’elle qu’elle en exerce une au regard des considérations qui précèdent, il ne se justifie pas de diviser par deux les charges de la famille pour établir le minimum vital de l’appelant. Il en va de même du montant de base du minimum vital d’un adulte vivant en couple, puisqu’il ne s’agit pas ici de mettre sur un pied d’égalité l’enfant majeur avec les enfants mineurs et la nouvelle épouse de l’appelant, dont les besoins doivent prévaloir sur ceux de l’enfant majeur. Cela se justifie d’autant plus qu’en l’espèce, seule la situation du père a été examinée par le premier juge, sans tenir compte d’une participation de la mère, dont on ignore quelle est la situation financière. Or, comme indiqué ci-dessus, le devoir des parents, y compris celui avec lequel l’enfant vit, se concentre sur le devoir de participer financièrement à leur entretien, le devoir d’entretien allant au-delà de l’entretien en nature fourni. On observera encore qu’il a été fait mention d’une participation de l’intimée à la charge de loyer de sa mère, chez qui elle vit, à raison de 340 fr. par mois. A supposer qu’une telle charge soit établie – ce qui n’est pas le cas sur la base des éléments figurant au dossier –, cela réduirait d’autant la participation en nature de la mère, dont il convient d’ailleurs de relativiser la portée au regard de la jurisprudence précitée. Le montant de base relatif à un couple avec enfants, soit 1'700 fr., devra être majoré de 20 % eu égard à la jurisprudence du Tribunal fédéral précitée.</w:t>
      </w:r>
    </w:p>
    <w:p>
      <w:r>
        <w:rPr>
          <w:b/>
        </w:rPr>
        <w:t>E. 5.4.2.2</w:t>
      </w:r>
    </w:p>
    <w:p>
      <w:r>
        <w:t>S’agissant du montant de base des deux enfants D.P.________ et E.P.________, il y a lieu de déduire les allocations familiales les concernant, par 600 fr. (230 fr. + 370 fr.), ce qui ramène ce montant à 200 fr. (800 fr. – 600 fr.). Le montant des primes d’assurance-maladie pour l’appelant, son épouse ainsi que les deux enfants du couple sera retenu à hauteur de 750 fr. 10, les primes de la famille étant de 1'020 fr. 10, et subsidiées par 270 fr. (cf. pièces 107 et 108bis). S’agissant des frais de déplacement invoqués par l’appelant à hauteur de 72 fr., ceux-ci ayant été admis par l’intimée, ils seront pris en compte pour ce montant. Les frais de repas allégués par l’appelant à hauteur de 220 fr. ne sont pas contestés par l’intimée quant à leur principe mais uniquement quant à leur quotité. En effet, cette dernière soutient qu’il y aurait lieu de prendre en compte un montant journalier de 9 fr. en lieu et place de 11 francs. En l’espèce, on retiendra un montant mensuel de 238 fr. 70 (11 fr. x 21.7 jours [cf. CACI 13 juillet 2016/410]) dans la mesure où le montant de 11 fr. par jour est prévu dans la fourchette des lignes directrices pour le calcul du minimum d’existence en matière de poursuite (minimum vital) , et qu’au surplus, l’intimée n’invoque aucun argument à l’appui de son grief. L’intimée n’a pas contesté le principe de la prise en compte des frais de garde assumés par l’appelant mais uniquement leur quotité. En l’espèce, ceux-ci doivent être pris en compte à hauteur des montants arrondis de 45 fr. 40 par mois ([185 fr. 15 + 359 fr. 40] / 12) pour D.P.________ et de 213 fr. 50 (2'562 fr. 10 / 12) s’agissant de E.P.________ (cf. pièce 4 produite par l’appelant). Les frais liés aux activités extrascolaires de D.P.________, par 41 fr. 70 – sur lesquels l’intimée ne se prononce pas – seront pris en compte s’agissant de la détermination du minimum vital de l’appelant, dès lors que l’entretien de l’enfant s’étend à tout ce qui lui est nécessaire au plan psychique et émotionnel, et de façon générale, à ce qui contribue à son bon développement. Outre les besoins vitaux, l’obligation d’entretien comporte aussi les dépenses liées aux activités culturelles, sportives ou de loisirs, ainsi que l’argent de poche conforme à l’âge de l’enfant (Meier/Stettler, op. cit., n. 1065, p. 703).</w:t>
      </w:r>
    </w:p>
    <w:p>
      <w:r>
        <w:rPr>
          <w:b/>
        </w:rPr>
        <w:t>E. 5.4.2.3</w:t>
      </w:r>
    </w:p>
    <w:p>
      <w:r>
        <w:t>Selon la jurisprudence du Tribunal fédéral s’agissant des contributions d’entretien dues aux enfants majeurs, il convient d’inclure dans le minimum vital la charge fiscale (ATF 118 II 97, JdT 1994 II 341 consid. 4b/aa). Les impôts de l’appelant ont par conséquent été pris en compte s’agissant de ses charges incompressibles. La prise en compte de tels frais, de même que leur quotité, n’est pas discutée en appel.</w:t>
      </w:r>
    </w:p>
    <w:p>
      <w:r>
        <w:rPr>
          <w:b/>
        </w:rPr>
        <w:t>E. 5.4.3</w:t>
      </w:r>
    </w:p>
    <w:p>
      <w:r>
        <w:t>La situation matérielle de l’appelant se présente ainsi comme suit : - Montant de base du couple (majoré de 20 %) fr. 2’040.00 - Montant de base de E.P.________ et D.P.________ fr. 200.00 - Loyer fr. 1’044.00 - Assurance-maladie fr. 750.10 - Frais de déplacement fr. 72.00 - Frais de repas fr. 238.70 - Frais de garde D.P.________ fr. 45.40 - Frais de garde E.P.________ fr. 213.50 - Activité extrascolaire de D.P.________ fr. 41.70 - Impôts fr. 268.65 TOTAL fr. 4'914.15 En définitive, l’appelant ne dispose d’aucun solde disponible, puisque son revenu de 4'887 fr. 40 ne lui permet pas de couvrir ses charges, par 4'914 fr. 15.</w:t>
      </w:r>
    </w:p>
    <w:p>
      <w:r>
        <w:rPr>
          <w:b/>
        </w:rPr>
        <w:t>E. 6.1</w:t>
      </w:r>
    </w:p>
    <w:p>
      <w:r>
        <w:t>Il résulte de ce qui précède que l’appelant n’est pas en mesure de contribuer à l’entretien de sa fille majeure. En conséquence, l'appel d’A.P.________ doit être admis et la requête de mesures provisionnelles rejetée.</w:t>
      </w:r>
    </w:p>
    <w:p>
      <w:r>
        <w:rPr>
          <w:b/>
        </w:rPr>
        <w:t>E. 6.2</w:t>
      </w:r>
    </w:p>
    <w:p>
      <w:r>
        <w:t>Vu l’issue du litige, les frais judiciaires de deuxième instance, arrêtés à 600 fr. (art. 65 al. 2 TFJC [tarif des frais judiciaires civils du 28 septembre 2010 ; RSV 270.11.5]), doivent être mis à la charge de l’intimée (art. 106 al. 2 CPC) et laissés à la charge de l’Etat, l’intimée étant au bénéfice de l’assistance judiciaire.</w:t>
      </w:r>
    </w:p>
    <w:p>
      <w:r>
        <w:rPr>
          <w:b/>
        </w:rPr>
        <w:t>E. 6.3</w:t>
      </w:r>
    </w:p>
    <w:p>
      <w:r>
        <w:t>En leur qualité de conseils d'office, Me Laurent Schuler, conseil d’office d’A.P.________, et Me Katia Pezuela, conseil d’office de B.P.________,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du 7 décembre 2010 sur l’assistance judiciaire en matière civile ; RSV 211.02.3]). Dans sa liste d'opérations du 25 juillet 2016, Me Laurent Schuler, conseil de l’appelant, indique avoir consacré, pour la période du 4 avril au 26 juillet 2016, un total de 12 heures de travail d’avocat au dossier et fait état de 152 fr. de débours, TVA en sus. La liste des opérations contient une description du mandat et énumère en détail chaque opération effectuée, sans indiquer combien de temps a été consacré à chaque poste. Elle fait état d’un temps estimatif non détaillé consacré au mandat de 12 heures. Compte tenu de la nature et de la complexité du litige, ce temps de travail paraît surévalué. Pour les correspondances et les téléphones, il se justifie d’admettre un total de 1 heure et 30 minutes. Pour le mémoire d’appel de 16 pages, un total de 5 heures peut être comptabilisé, 1 heure pour la préparation de l’audience d’appel et 30 minutes pour l’audience. Partant, il convient de réduire l’indemnité d’office de Me Schuler à un total de 8 heures de travail. Partant, au tarif horaire de 180 fr. (art. 2 al. 1 RAJ), l'indemnité de Me Schuler sera donc arrêtée à 1'719 fr. 35, débours par 152 fr. et TVA par 127 fr. 35 compris. Quant à l’avocate de l’intimée, dans sa liste d’opérations du 28 juillet 2016, elle indique a voir consacré 10 heures et 50 minutes au dossier entre le 25 avril et le 28 juillet 2016, dont 9 heures et 10 minutes par un avocat-stagiaire, ce qui peut être admis. Le montant alloué doit ainsi être arrêté en retenant 1 heure et 40 minutes de travail d'avocat breveté, au tarif horaire de 180 fr., soit 300 fr., ainsi que 9 heures et 10 minutes de travail d'avocat-stagiaire, au tarif horaire de 110 fr., soit 1’008 fr. 35 (cf. art. 2 al. 1 RAJ), avec une vacation à 80 fr., auxquelles s’ajoutent les débours par 100 fr. et la TVA, par 119 fr. 05, ce qui porte le montant total à 1’607 fr. 40. Les bénéficiaires de l’assistance judiciaire sont, dans la mesure de l’art. 123 CPC, tenus au remboursement des frais judiciaires et de l’indemnité à leur conseil d’office mis à la charge de l’Etat.</w:t>
      </w:r>
    </w:p>
    <w:p>
      <w:r>
        <w:rPr>
          <w:b/>
        </w:rPr>
        <w:t>E. 6.4</w:t>
      </w:r>
    </w:p>
    <w:p>
      <w:r>
        <w:t>L’intimée doit verser à l’appelant la somme de 1’800 fr., à titre de dépens de deuxième instance. Par ces motifs, la Juge déléguée de la Cour d’appel civile prononce : I. L’appel est admis. II. L’ordonnance est réformée comme suit aux chiffres I et III de son dispositif : I. La requête de mesures provisionnelles du 13 janvier 2016 déposée par B.P.________ est rejetée. III. supprimé. L’ordonnance est confirmée pour le surplus. III. Les frais judiciaires de deuxième instance, arrêtés à 600 fr. (six cents francs) pour l’intimée sont laissés à la charge de l’Etat. IV. L’indemnité d’office de Me Laurent Schuler, conseil d’office de l’appelant, est arrêtée à 1'719 fr. 35 (mille sept cent dix-neuf francs et trente-cinq centimes francs), TVA et débours compris. V. L’indemnité d’office de Me Katia Pezuela, conseil d’office de l’intimée, est arrêtée à 1’607 fr. 40 (mille six cent sept francs et quarante centimes), TVA et débours compris. VI. Les bénéficiaires de l’assistance judiciaire sont, dans la mesure de l’art. 123 CPC, tenus au remboursement des frais judiciaires et de l’indemnité au conseil d’office mis à la charge de l’Etat. VII. L’intimée B.P.________ doit verser à l’appelant A.P.________ la somme de 1’800 fr. (mille huit cents francs), à titre de dépens de deuxième instance. VIII. L’arrêt est exécutoire. La juge déléguée : La greffière : Du Le présent arrêt, dont la rédaction a été approuvée à huis clos, est notifié en expédition complète à : ‑ Me Laurent Schuler (pour A.P.________), ‑ Me Katia Pezuela (pour B.P.________), et communiqué, par l'envoi de photocopies, à : ‑ M. le Président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