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58 vom 14. Januar 2016</w:t>
      </w:r>
    </w:p>
    <w:p>
      <w:r>
        <w:t>VD Tribunal cantonal, 2016-01-14, FR</w:t>
      </w:r>
    </w:p>
    <w:p>
      <w:r>
        <w:rPr>
          <w:b/>
        </w:rPr>
        <w:t xml:space="preserve">Quelle: </w:t>
      </w:r>
      <w:r>
        <w:t>https://mcp.opencaselaw.ch/entscheid/vd_findinfo_HC___2016___58</w:t>
      </w:r>
    </w:p>
    <w:p>
      <w:r>
        <w:t>FR: VD_FINDINFO HC / 2016 / 58 du 14 janvier 2016</w:t>
      </w:r>
    </w:p>
    <w:p>
      <w:r>
        <w:t>IT: VD_FINDINFO HC / 2016 / 58 del 14 gennaio 2016</w:t>
      </w:r>
    </w:p>
    <w:p>
      <w:pPr>
        <w:pStyle w:val="Heading2"/>
      </w:pPr>
      <w:r>
        <w:t>Regeste</w:t>
      </w:r>
    </w:p>
    <w:p>
      <w:r>
        <w:t>PROTECTION DE L'UNION CONJUGALE, OBLIGATION D'ENTRETIEN, CALCUL, MINIMUM VITAL, NOUVEAU MOYEN DE FAIT | 176 al. 1 CC, 317 al. 1 CPC (CH)</w:t>
      </w:r>
    </w:p>
    <w:p>
      <w:pPr>
        <w:pStyle w:val="Heading2"/>
      </w:pPr>
      <w:r>
        <w:t>Erwägungen</w:t>
      </w:r>
    </w:p>
    <w:p>
      <w:r>
        <w:rPr>
          <w:b/>
        </w:rPr>
        <w:t>E. 1.1</w:t>
      </w:r>
    </w:p>
    <w:p>
      <w:r>
        <w:t>L’appel est recevable contre les ordonnances de mesures protectrices de l’union conjugale, lesquelles sont assimilées aux mesures provisionnelles au sens de l’art. 308 al. 1 let. b CPC (Code de procédure civile du 18 décembre 2008 ; RS 272)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y a un intérêt (art. 59 al. 2 let. a CPC) et portant sur des conclusions qui, capitalisées selon l’art. 92 al. 2 CPC, sont supérieures à 10'000 fr., l’appel de J.________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Selon l’art. 272 CPC, les procédures de mesures protectrices de l’union conjugale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Pour les questions relatives aux époux,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S’il y a des enfants et pour les questions concernant leur sort, l’art. 296 al. 1 CPC impose cependant la maxime d’office et la maxime inquisitoire illimitée (Tappy, CPC commenté, op. cit., nn. 3-4 ad art. 272 CPC ; TF 5A_194/2012 du 8 mai 2012 consid. 4.2 ; TF 5A_361/2011 du 7décembre 2011 c. 5.3.1 ; Juge déléguée CACI 20 février 2015/136 consid. 3).</w:t>
      </w:r>
    </w:p>
    <w:p>
      <w:r>
        <w:rPr>
          <w:b/>
        </w:rPr>
        <w:t>E. 2.2.2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précité et les références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références citées).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 4.2, RSPC 2012 p. 231 ; cf. aussi TF 5A_609/2011 du 14 mai 2012 consid. 3.2.2), l'a définitivement confirmée dans l'ATF 138 III 625.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(ATF 138 III 625 consid. 2.2, RSPC 2013 p. 32, note Bohnet ; TF 4A_397/2013 du 11 février 2014 consid. 4.5.2, SJ 2014 I 413). Ainsi, il n’est pas insoutenable d’appliquer strictement l’art. 317 CPC dans tous les litiges auxquels s’applique la maxime inquisitoire, même concernant des contributions envers les enfants (TF 5A_342/2013 du 27 septembre 2013 consid. 4.1.2 ; TF 5A_22/2014 du 13 mai 2014 consid. 4.2, RSPC 2014 p. 456, qui souligne que la question de principe n'a pas encore été tranchée).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(Tappy, op. cit., in : JdT 2010 III 139), à tout le moins lorsque le juge de première instance a violé la maxime inquisitoire illimitée (Hohl, op. cit., n. 2415, p. 438 ; JdT 2011 III 43).</w:t>
      </w:r>
    </w:p>
    <w:p>
      <w:r>
        <w:rPr>
          <w:b/>
        </w:rPr>
        <w:t>E. 2.3.1</w:t>
      </w:r>
    </w:p>
    <w:p>
      <w:r>
        <w:t>En l’espèce, dès lors que le litige ne porte que sur la contribution d'entretien du conjoint, il n’est pas soumis à la maxime d’office, mais à la maxime de disposition et à la maxime inquisitoire sociale. Il convient ainsi d’examiner la recevabilité des pièces produites à la lumière des conditions de l’art. 317 al. 1 CPC et des principes exposés. Outre la copie de l’ordonnance de mesures protectrices querellée (P. 1) et l’enveloppe l’ayant contenue (P. 2), l’appelant a produit un certificat d’assurance-maladie 2016, daté du 16 octobre 2015, avec l’avis de prime d’assurances selon la LCA pour 2016 du</w:t>
      </w:r>
    </w:p>
    <w:p>
      <w:r>
        <w:rPr>
          <w:b/>
        </w:rPr>
        <w:t>E. 2.3.2</w:t>
      </w:r>
    </w:p>
    <w:p>
      <w:r>
        <w:t>L’appelant a en outre requis la production par l’intimée de tous les comptes dont elle est titulaire auprès [...] ou [...], faisant valoir que celle-ci aurait une situation « meilleure que la sienne ». Du fait que cette réquisition de preuve aurait pu être émise au cours de la procédure de première instance, elle ne porte pas sur de vrais novas. L’appelant n’expose pas davantage en quoi il n’a pas pu invoquer ce moyen de preuve devant le premier juge en faisant preuve de la diligence requise. Dans ces circonstances, force est de considérer que les conditions de l’art. 317 CPC ne sont manifestement pas remplies. 3. 3.1 L'appelant critique la contribution d'entretien mise à sa charge. S’il ne conteste pas le montant de ses revenus, il fait toutefois valoir qu’il faudrait tenir compte, dans le calcul du minimum vital, de sa prime d’assurance-maladie pour l’année 2016 qui se chiffre à 439 fr. 50, d’un montant de 500 fr. pour les frais d’entretien courants de son logement, ainsi que des charges relatives à l’immeuble sis en Espagne dont il est copropriétaire et dont il assume seul les coûts. Sur cette base, l'appelant estime que la contribution d’entretien en faveur de l’intimée devrait être arrêtée à 1'400 francs. 3.2 En ce qui concerne la prime d’assurance-maladie, l’appelant se prévaut d’une pièce irrecevable en appel (cf. consid. 2.3.1 supra). Dès lors que son moyen est dépourvu de fondement, il n’y a pas lieu de tenir compte d’une quelconque modification à ce sujet. Le montant de 376 fr. retenu par le premier juge peut être confirmé. 3.3 Quant à l’argumentation de l’appelant tendant à la prise en compte, dans le calcul de ses frais de logement, d’un montant minimum de 500 fr. par mois pour l’entretien courant, elle est infondée dans la mesure où il ressort de l’ordonnance entreprise qu’un tel montant a été retenu à ce titre (cf. ordonnance de mesures protectrices de l’union conjugale, consid. 5.bb, p. 10 : 1'945 fr. 50 = 712 fr. 50 [intérêts hypothécaires] + 400 fr. [amortissement indirect obligatoire] + 330 fr. [autres charges : taxe déchets, eau et taxe épuration, contrôle brûleur, assurance ECA, assurance bâtiment et mazout] + 500 fr. [frais d’entretien courants]). Au demeurant, s’il fallait comprendre que l’appelant entendait exiger la prise en compte d’un montant supplémentaire de 500 fr., ce moyen devrait être rejeté car il ne repose sur aucun moyen de preuve. 3.4 Enfin, s’agissant des charges de l’immeuble sis en Espagne, apparemment copropriété des parties, c’est à juste titre que le premier juge ne les a pas retenues dans le calcul du minimum vital. S’il est exact, comme le relève l’appelant, que les exigences de forme de la procédure sommaire ne sont pas celles de la procédure ordinaire, il n’en demeure pas moins que les parties doivent rendre vraisemblables les éléments de fait qu’elles invoquent (cf. consid. 2.2.1 supra). Or, même à supposer que ces charges aient fait l’objet de discussions entre les parties, les allégations de l’appelant y relatives apparaissent dénuées de tout appui au dossier de première instance. Les documents produits à l’audience du</w:t>
      </w:r>
    </w:p>
    <w:p>
      <w:r>
        <w:rPr>
          <w:b/>
        </w:rPr>
        <w:t>E. 5</w:t>
      </w:r>
    </w:p>
    <w:p>
      <w:r>
        <w:t>octobre 2015 (P. 3), divers relevés ou factures émis entre les mois d’août 2014 et de septembre 2015 se rapportant à l’immeuble sis en Espagne dont il est copropriétaire (P. 4), sa déclaration d’impôts 2013 avec les annexes (P. 5), une facture du 16 décembre 2015 pour l’entretien et la taille d’arbres fruitiers sur sa propriété à [...] (P. 6), ainsi qu’une attestation fiscale 2014 de la Caisse de compensation des arts et métiers suisses du 12 janvier 2015 (P. 7). Les pièces 3, 4 et 7, toutes datées antérieurement à l’audience du 6 novembre 2015, sont irrecevables. A cet égard, l’appelant n’invoque pas, et a fortiori n’établit pas, ce qui l’aurait empêché de faire état de ces éléments dans le cadre de la procédure de première instance. Par conséquent, ces pièces – et les faits nouveaux qu’elles sont destinées à prouver (cf. consid. 3 infra) – ne sauraient être prises en compte dans l’examen de la présente cause. En revanche, la pièce 5 figure déjà au dossier, de sorte qu’elle est recevable. Il en va de même de la pièce 6, qui est nouvelle. Cela étant, ces pièces sont sans pertinence pour le sort de l’appel.</w:t>
      </w:r>
    </w:p>
    <w:p>
      <w:r>
        <w:rPr>
          <w:b/>
        </w:rPr>
        <w:t>E. 6</w:t>
      </w:r>
    </w:p>
    <w:p>
      <w:r>
        <w:t>novembre 2015 ne permettent pas en tout état de cause de corroborer les montants articulés dans l’écriture d’appel (cf. ch. 7 à 13), en particulier s’agissant des frais de conciergerie, des frais d’eau et d’électricité, des assurances bâtiment et incendie ou encore des frais d’entretien de la piscine. Quant aux pièces produites en deuxième instance à ce sujet, elles sont irrecevables (cf. consid. 2.3.1 supra), de sorte que l’appelant ne saurait valablement s’y référer. 3.5 Il résulte de ce qui précède que le montant de la contribution, tel qu’arrêté par le premier juge selon la méthode du minimum vital avec répartition de l’excédent, est adéquat compte tenu des montants retenus au titre de charges des parties (cf. lettre C.4 supra). Partant, il convient de confirmer la contribution d’entretien de 1'800 francs. 4. En définitive, l'appel, manifestement infondé, doit être rejeté, selon le mode procédural de l'art. 312 al. 1 CPC, et l'ordonnance du 7 décembre 2015 confirmée. Les frais judiciaires de deuxième instance, arrêtés à 600 fr. (art. 65 al. 2 TFJC [tarif des frais judiciaires civils du 28 septembre 2010 ; RSV 270.11.5]), seront mis à la charge de l'appelant, qui succombe (art. 106 al. 1 CPC). Il n'y a pas lieu à l'allocation de dépens, l'intimée n'ayant pas été invitée à se déterminer.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J.________. IV. L’arrêt est exécutoire. Le juge délégué : La greffière : Du L'arrêt qui précède, dont la rédaction a été approuvée à huis clos, est notifié en expédition complète, par l'envoi de photocopies, à : ‑ Me Paul-Arthur Treyvaud, avocat (pour J.________), ‑ Me Mary Monnin-Zwahlen, avocate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