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536 vom 7. Juni 2016</w:t>
      </w:r>
    </w:p>
    <w:p>
      <w:r>
        <w:t>VD Tribunal cantonal, 2016-06-07, FR</w:t>
      </w:r>
    </w:p>
    <w:p>
      <w:r>
        <w:rPr>
          <w:b/>
        </w:rPr>
        <w:t xml:space="preserve">Quelle: </w:t>
      </w:r>
      <w:r>
        <w:t>https://mcp.opencaselaw.ch/entscheid/vd_findinfo_HC___2016___536</w:t>
      </w:r>
    </w:p>
    <w:p>
      <w:r>
        <w:t>FR: VD_FINDINFO HC / 2016 / 536 du 7 juin 2016</w:t>
      </w:r>
    </w:p>
    <w:p>
      <w:r>
        <w:t>IT: VD_FINDINFO HC / 2016 / 536 del 7 giugno 2016</w:t>
      </w:r>
    </w:p>
    <w:p>
      <w:pPr>
        <w:pStyle w:val="Heading2"/>
      </w:pPr>
      <w:r>
        <w:t>Regeste</w:t>
      </w:r>
    </w:p>
    <w:p>
      <w:r>
        <w:t>EXPULSION DE LOCATAIRE, CAS CLAIR, BAIL À LOYER, PAIEMENT DE L'ARRIÉRÉ | 257d CO, 257 CPC (CH), 308 al. 1 let. a CPC (CH), 308 al. 2 CPC (CH)</w:t>
      </w:r>
    </w:p>
    <w:p>
      <w:pPr>
        <w:pStyle w:val="Heading2"/>
      </w:pPr>
      <w:r>
        <w:t>Erwägungen</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le loyer mensuel s'élevant à 2'415 fr., acompte de chauffage, eau chaude, frais accessoires et places de parc compris, la valeur litigieuse est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 Formé en temps utile par la partie locataire qui a succombé en première instance et qui y a intérêt (art. 59 al. 2 let. a CPC), l'appel est recevable.</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CACI 24 juin 2015/325 consid. 2 ; CACI 25 novembre 2014/607 consid. 3a ; CACI 6 mars 2014/102 consid. 2b ; CACI 10 juin 2013/289 consid. 4a). En l’espèce, les pièces produites par l’intimée sont nouvelles, partant irrecevables.</w:t>
      </w:r>
    </w:p>
    <w:p>
      <w:r>
        <w:rPr>
          <w:b/>
        </w:rPr>
        <w:t>E. 3.1</w:t>
      </w:r>
    </w:p>
    <w:p>
      <w:r>
        <w:t>L’appelante conteste l’appréciation du premier juge selon laquelle il n’y a pas de motif d’annulation du congé. Elle expose qu’elle a dûment invoqué devant la commission de conciliation la bonne foi de son administrateur unique, lequel, en raison de très importants soucis de santé, n’a pu régler le montant des loyers échus en temps utile. Elle fait en outre valoir qu’un congé est annulable s’il est contraire aux règles de la bonne foi, lorsqu’une incertitude subsiste quant au montant réellement dû pour éviter la résiliation, ce qui serait le cas en l’espèce.</w:t>
      </w:r>
    </w:p>
    <w:p>
      <w:r>
        <w:rPr>
          <w:b/>
        </w:rPr>
        <w:t>E. 3.2.1</w:t>
      </w:r>
    </w:p>
    <w:p>
      <w:r>
        <w:t>Aux termes de l’art. 257d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le bailleur peut résilier le contrat avec effet immédiat ; les baux d’habitation ou de locaux commerciaux peuvent être résiliés moyennant un délai de congé minimum de trente jours pour la fin du mois (al. 2). 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4A_641/2011 du 27 janvier 2012 consid. 5; TF 4C.123/2000 du 14 juin 2000 consid. 3b, in Cahiers du Bail [CdB] 2000 p. 109; Wessner, Droit du bail à loyer, Zurich 2010, n. 17 ad art. 257d CO; Lachat, Le bail à loyer, 2 e éd., 2008, p. 666; Burkhalter/Martinez-Favre, Le droit suisse du bail à loyer, commentaire SVIT, Zurich 2011, n. 26 ad art. 257d CO). Lorsque la sommation mentionne, sans plus de renseignements, un montant sans rapport avec la somme effectivement due à titre de loyer et de charges, la mise en demeure ne satisfait pas aux exigences de clarté et de précision (TF 4A_134/2011 du 23 mai 2011 consid. 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(TF 4A_306/2015 du 14 octobre 2015 consid. 2 et les réf. citées).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 A cet égard, des motifs humanitaires n'entrent pas en ligne de compte dans l'examen des conditions de l'art. 257d CO, dès lors qu'ils ne sont pas pris en considération par les règles de droit fédéral sur le bail à loyer (TF du 27 février 1997 précité in CdB 3/97 p. 65 consid. 2b; TF 4A_252/2014 du 28 mai 2014 consid. 4.2; TF 4C_74/2006 du 12 mai 2006 consid.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les réf. citées). Cette jurisprudence garde sa pertinence sous l’empire du CPC (CACI 12 août 2011/194 ; CACI 27 juillet 2011/175).</w:t>
      </w:r>
    </w:p>
    <w:p>
      <w:r>
        <w:rPr>
          <w:b/>
        </w:rPr>
        <w:t>E. 3.2.2</w:t>
      </w:r>
    </w:p>
    <w:p>
      <w:r>
        <w:t>La requête d’expulsion en cas clair est recevable même lorsque le locataire a contesté la validité du congé et que la procédure en contestation est encore pendante. Le juge saisi en cas clair peut statuer à titre préjudiciel sur la validité du congé, sans qu’il doive surseoir à statuer jusqu’à droit connu sur la procédure en contestation de la validité du congé (ATF 141 III 262 consid. 3).</w:t>
      </w:r>
    </w:p>
    <w:p>
      <w:r>
        <w:rPr>
          <w:b/>
        </w:rPr>
        <w:t>E. 3.2.3</w:t>
      </w:r>
    </w:p>
    <w:p>
      <w:r>
        <w:t>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w:t>
      </w:r>
    </w:p>
    <w:p>
      <w:r>
        <w:rPr>
          <w:b/>
        </w:rPr>
        <w:t>E. 3.3</w:t>
      </w:r>
    </w:p>
    <w:p>
      <w:r>
        <w:t>En l’espèce, il est incontesté que le loyer pour le mois de juin 2015 était exigible et impayé au moment de l'envoi de l'avis comminatoire. Cet avis précisait expressément et sans aucune ambiguïté qu'il se rapportait au loyer impayé des bureaux par 2'215 fr. et des places de parc par 200 fr. (5 x 40 fr.). A réception, l’appelante ne pouvait avoir le moindre doute au sujet du bien-fondé et de l'exigibilité de cette créance de l’intimé. Peu importe qu'il ait pu exister un doute sur la validité de l'avis comminatoire s’agissant des frais de rappel : l’appelante ne pouvait ignorer la dette qu'elle devait en tout état de cause payer. Or, le montant de l’arriéré n’a pas été payé dans le délai imparti et l’appelante ne le conteste d’ailleurs pas. Le bailleur était donc fondé à résilier le bail. L’argument de l’appelante, selon lequel son administrateur unique a rencontré de très importants soucis de santé, n’entre pas en ligne de compte dans l’examen de la bonne foi pouvant conduire dans des circonstances très particulières à l’annulation du congé donné en cas de demeure du locataire. La question de savoir si l’appelante peut se prévaloir de ce fait à titre de motif humanitaire peut au demeurant rester indécise à ce stade de la procédure d’expulsion, au vu des principes énoncés à cet égard (cf. consid. 3.2.1). Pour le surplus, le délai de libération des locaux est conforme à la jurisprudence. L’appelante bénéficie d’ailleurs de facto d’un délai supplémentaire en raison de l’effet suspensif résultant ex lege de l'appel et du fait qu’un nouveau délai de libération devra être fixé ensuite du rejet de l’appel.</w:t>
      </w:r>
    </w:p>
    <w:p>
      <w:r>
        <w:rPr>
          <w:b/>
        </w:rPr>
        <w:t>E. 4.1</w:t>
      </w:r>
    </w:p>
    <w:p>
      <w:r>
        <w:t>Il s'ensuit que l'appel doit être rejeté selon le mode procédural de l'art. 312 al. 1 CPC et l'ordonnance entreprise confirmée. La cause sera renvoyée à la Juge de paix du district de Nyon pour qu'elle fixe à la locataire, une fois les considérants écrits du présent arrêt envoyés pour notification aux parties, un nouveau délai pour libérer les locaux qu'elle occupe dans l'immeuble sis rue [...], à [...].</w:t>
      </w:r>
    </w:p>
    <w:p>
      <w:r>
        <w:rPr>
          <w:b/>
        </w:rPr>
        <w:t>E. 4.2</w:t>
      </w:r>
    </w:p>
    <w:p>
      <w:r>
        <w:t>Une personne a droit à l’assistance judiciaire si elle ne dispose pas de ressources suffisantes et si sa cause ne paraît pas dépourvue de toute chance de succès (art. 117 CPC). En sa qualité de personne morale, l’appelante ne peut en principe pas prétendre à l'assistance judiciaire (TF 5A_783/2015 du 15 janvier 2016 consid. 5 ; ATF 131 II 306 consid. 5.2.1 et 5.2.2 ; ATF 126 V 42 consid. 4). Afin de tenir compte d’avis divergents exprimés dans la doctrine, la jurisprudence n’a pas exclu l’octroi de l’assistance judiciaire à une personne morale si son seul actif est en litige et si les personnes physiques qui en sont les ayants droit économiques sont sans ressource. Cette éventualité a toutefois uniquement été réservée et, en interprétant strictement ces conditions, l’assistance judiciaire n’a pas pour autant été accordée à une personne morale (TF 4A_665/2014 du 2 avril 2015 consid. 3 ; TF 1B_522/2011 du 23 novembre 2011 consid. 2.1 ; ATF 119 Ia 337 consid. 4a-4e). En l’espèce, l’appelante se contente de renvoyer à la décision d’assistance judiciaire octroyée à S.________ personnellement en première instance, en indiquant que cette assistance a été octroyée au vu de la situation obérée de la société. Ce faisant, elle ne démontre pas à satisfaction de droit que son seul actif serait en litige et que la personne physique qui en est l’ayant droit serait sans ressource. Quoi qu’il en soit, la requête d’assistance judiciaire de l’appelante – à supposer qu’elle ait pu être octroyée nonobstant sa qualité de personne morale – doit être rejetée, dès lors que l’appel était d’emblée dépourvu de chances de succès.</w:t>
      </w:r>
    </w:p>
    <w:p>
      <w:r>
        <w:rPr>
          <w:b/>
        </w:rPr>
        <w:t>E. 4.3</w:t>
      </w:r>
    </w:p>
    <w:p>
      <w:r>
        <w:t>Les frais judiciaires de deuxième instance, arrêtés à 200 fr. (art. 62 al. 3 et 69 al. 1 TFJC [tarif des frais judiciaires en matière civile du 28 septembre 2010 ; RSV 270.11.5]), sont mis à la charge de l’appelante, qui succombe (art. 106 al. 1 et 3 CPC). Il n’y a pas lieu à l’allocation de dépens de deuxième instance, l’intimé ayant déposé une réponse spontanée sans y avoir été invité.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