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504 vom 27. April 2016</w:t>
      </w:r>
    </w:p>
    <w:p>
      <w:r>
        <w:t>VD Tribunal cantonal, 2016-04-27, FR</w:t>
      </w:r>
    </w:p>
    <w:p>
      <w:r>
        <w:rPr>
          <w:b/>
        </w:rPr>
        <w:t xml:space="preserve">Quelle: </w:t>
      </w:r>
      <w:r>
        <w:t>https://mcp.opencaselaw.ch/entscheid/vd_findinfo_HC___2016___504</w:t>
      </w:r>
    </w:p>
    <w:p>
      <w:r>
        <w:t>FR: VD_FINDINFO HC / 2016 / 504 du 27 avril 2016</w:t>
      </w:r>
    </w:p>
    <w:p>
      <w:r>
        <w:t>IT: VD_FINDINFO HC / 2016 / 504 del 27 aprile 2016</w:t>
      </w:r>
    </w:p>
    <w:p>
      <w:pPr>
        <w:pStyle w:val="Heading2"/>
      </w:pPr>
      <w:r>
        <w:t>Regeste</w:t>
      </w:r>
    </w:p>
    <w:p>
      <w:r>
        <w:t>ASSURANCE-VOL, PRÉTENTION FRAUDULEUSE ENVERS L'ASSUREUR | 40 LCA, 168 CPC (CH), 308 al. 1 let. a CPC (CH), 308 al. 2 CPC (CH), 322 al. 1 CPC (CH)</w:t>
      </w:r>
    </w:p>
    <w:p>
      <w:pPr>
        <w:pStyle w:val="Heading2"/>
      </w:pPr>
      <w:r>
        <w:t>Erwägungen</w:t>
      </w:r>
    </w:p>
    <w:p>
      <w:r>
        <w:rPr>
          <w:b/>
        </w:rPr>
        <w:t>E. 10</w:t>
      </w:r>
    </w:p>
    <w:p>
      <w:r>
        <w:t>Par demande du 4 octobre 2013, F.P.________ a conclu, avec suite de frais et dépens, à ce que L.________ SA soit condamnée à lui payer la somme de 35'715 fr. 90, avec intérêts à 5% dès le 13 octobre 2012, à ce que la nullité de la résiliation par l’assurance de la police n°  [...] (sic) soit constatée et au rejet de toutes autres et plus amples conclusions prises par L.________ SA. Par réponse du 28 janvier 2014, L.________ SA a conclu, avec suite de frais et dépens, au rejet des conclusions susmentionnées. Par écritures des 31 mars et 5 mai 2014, les parties ont respectivement confirmé leurs conclusions. Les parties ont été entendues et interrogées en qualité de parties selon l’art. 191 CPC à l’audience de jugement des 29 janvier et 7 mai 2015. De même, plusieurs témoins ont été auditionnés. En droit : 1. L’appel est recevable contre les décisions finales de première instance (art. 308 al. 1 let. a CPC), dans les affaires patrimoniales dont la valeur litigieuse, au dernier état des conclusions, est de 10'000 fr. au moins (art. 308 al. 2 CPC). Formé en temps utile (art. 311 al. 1 CPC), par une partie qui y a intérêt (art. 59 al. 2 let. a CPC) et portant sur des conclusions d’une valeur litigieuse de 35'715 fr. 90,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 3. 3.1 Selon l’appelant, l’état de fait inexact et lacunaire, respectivement l’appréciation arbitraire des preuves administrées, aurait conduit les premiers juges à violer le droit, en particulier l’art. 40 LCA (loi sur le contrat d’assurance du 2 avril 1908 ; RS 221.229.1), lorsqu’ils ont retenu une intention de sa part d’induire l’assurance en erreur s’agissant de l’énumération des objets volés. 3.2 Aux termes de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Elle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révélés incombe à l’assureur (cf. Brulhart, Droit des assurances privées, 2008, n. 651, pp. 301-302). Selon Kuhn et Montavon (Droit des assurances privées, 1994, pp. 177-178),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La fausse déclaration des causes du sinistre, la fausse déclaration de la valeur des objets, la production de factures falsifiées ainsi que la production d’un certificat de décès falsifié en sont des exemples types. Au regard de la loi, la dissimulation de renseignements est tout aussi frauduleuse que la déclaration inexacte de renseignements. Pour que l’ensemble des faits composant la situation décrite à l’art. 40 LCA soient réunis, encore faut-il que l’ayant droit ou son représentant ait agi dans le but d’induire l’assureur en erreur. Pour que la prétention soit qualifiée de frauduleuse, il suffit que l’ayant droit ou son représentant ait agi dans cet esprit. Le fait que la fraude ait réussi, que l’assureur ait subi de ce fait un dommage économique n’est pas topique.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 3.3. 3.3.1 Tout d’abord, l’appelant reproche aux premiers juges d’avoir mis en doute l’existence des vacances en Tunisie, lorsqu’ils ont retenu qu’il avait allégué le futur départ en vacances de la famille pour ce pays quelques jours plus tard, tout en précisant que le dossier ne contenait aucun document en lien avec ces vacances. Il dénonce à cet égard une violation de l’art. 150 CPC, selon lequel la preuve a pour objet les faits pertinents et contestés, et de l’art. 168 al. 1 let. a CPC, lequel indique le témoignage comme l’un des moyens de preuve à disposition. Dans la mesure où le litige porte sur l’analyse de l’élément subjectif qu’est l’intention de l’appelant d’induire l’assurance en erreur lors de la déclaration des objets volés, l’élément factuel du « projet effectif » de vacances en Tunisie n’est pas pertinent. En effet, le cambriolage dans l’appartement n’est pas contesté, ni le vol d’objets de la marque [...] destinés à des cadeaux pour la famille en Tunisie. Au demeurant, ces deux éléments sont admis indépendamment du fait de savoir si ces objets s’étaient trouvés ou non dans des valises, élément allégué pour la première fois en appel, de sorte qu’il est irrecevable selon l’art. 317 CPC. Partant, l’on ne saurait retenir une constatation manifestement inexacte des faits à cet égard et, encore moins, une violation des art. 150 al. 1 et 168 CPC. 3.3.2 L’appelant reproche ensuite aux premiers juges d’avoir passé sous silence la nuance entre le retour suivi d’un échange de marchandises, d’une part, et le retour de marchandises contre remboursement ou émission d’un avoir, d’autre part. Ainsi, les magistrats auraient retenu, à tort, qu’il résultait des investigations menées par l’intimée que six des douze articles [...] figurant à l’inventaire du 3 août 2012 avaient été restitués à l’enseigne avant le cambriolage, alors que, sur ces six articles, un porte-clés à 295 fr. avait été échangé contre un autre objet, avant d’être volé lors du cambriolage. En omettant de traiter cette nuance et en faisant abstraction des témoignages relatant la méconnaissance par l’appelant de l’octroi d’un avoir par l’enseigne [...], les premiers juges auraient constaté les faits de manière inexacte. Selon le tableau récapitulatif des achats et restitutions d’objets fourni par l’enseigne [...] à l’assurance le 9 octobre 2012 et après examen des factures établies les 21 mai et 4 juillet 2012 par cette enseigne au nom d’I.P.________, il apparaît que, lors de la restitution le 2 juillet 2012 à Lausanne des « six biens » que celui-ci avait acquis le 21 mai 2012 pour un montant de 2'170 fr., trois objets ont été achetés pour un montant total de 2'190 fr. le même jour et au même endroit. Parmi les « six biens » restitués figuraient notamment les porte-clés référencés «  [...] » et «  [...] », chacun d’une valeur de 295 fr. ; parmi les trois objets acquis figurait un autre porte-clés d’une valeur identique de 295 fr. référencé «  [...] ». On en déduit que l’un des deux porte-clés restitués le 2 juillet 2012 a été échangé contre le porte-clés référencé « [...]», ce qui découle également des allégations de l’appelant contenues dans le courrier du 14 novembre 2012, lorsqu’il explique que « […] les articles retournés le 2 juillet 2012 ont été échangés pour d’autres objets, parfois similaires au point d’avoir le même prix (comme par exemple le porte-clés de 295 fr. échangé contre un autre porte-clés de 295 fr.). ». Toutefois, comme l’indique le justificatif du 4 juillet 2012, ce porte-clés référencé «  [...] » a été restitué à cette date, sans qu’un nouveau porte-clés soit acheté. Partant, l’appelant n’a pas démontré qu’il possédait ce porte-clés ou un autre porte-clés d’une valeur de 295 fr. lors du cambriolage, contrairement à ce qu’il allègue dans son courrier du 14 novembre 2012. En outre, on peut déduire du tableau récapitulatif des achats et restitutions d’objets que les « six biens » acquis le 21 mai 2012 ont été restitués le 2 juillet 2012 en échange de trois autres objets acquis le même jour. Or, ce sont ces « six biens » acquis le 21 mai 2012 qui sont litigieux, puisque l’appelant les a déclarés comme volés dans les listes des 3 août et 7 septembre 2012, alors que ces objets n’étaient plus en sa possession lors du cambriolage. Partant, les premiers juges ont retenu, à juste titre, que parmi les douze objets déclarés volés dans la liste établie le 3 août 2012, six avaient été restitués avant le vol. De plus, lorsque ces « six biens » ont été restitués le 2 juillet 2012, ils l’ont été pour un montant total de 2'170 fr., alors que les trois biens acquis le même jour l’ont été pour une valeur totale de 2'190 francs. Ces trois biens sont le porte-clés «  [...] » d’une valeur de 295 fr., restitué le 4 juillet 2012, et les deux autres biens, l’un de 555 fr. et l’autre de 1'340 fr., lesquels ne figurent pas comme objets volés dans les inventaires des 3 août et 7 septembre 2012 remis à l’assurance. Quant à l’existence d’un avoir auprès de l’enseigne [...] à la suite de la restitution ou de l’échange d’un objet, il ressort de la facture du 4 juillet 2012 que trois objets d’un montant total de 2'575 fr. ont été restitués, que trois objets d’un montant total de 2'050 fr. ont été achetés et qu’un avoir de 525 fr. a effectivement été octroyé au nom d’I.P.________. Ainsi, il convient de compléter l’état de fait en ce sens, bien que la connaissance d’un tel avoir de la part de l’appelant n’apparaisse pas un fait pertinent pour la résolution du litige (cf. infra consid. 3.3.3). 3.3.3 L’appelant conteste l’appréciation des preuves opérée par les premiers juges, qui ont considéré qu’il ne pouvait ignorer ces retours de marchandises, si ce n’est au moment de remplir la déclaration de sinistre, à tout le moins lors de l’entretien du 7 septembre 2012. 3.3.3.1 Selon l’appelant, les premiers juges auraient, à tort, fait abstraction des témoignages de ses proches concernant sa méconnaissance de retours d’objets, d’échanges et d’avoir auprès de l’enseigne [...]. En premier lieu, les déclarations des membres de la famille de l’appelant, sur lesquelles celui-ci prend appui, doivent être appréciées avec circonspection. Si les témoignages des fils concordent sur l’absence d’intention de leur père d’obtenir des prestations indues, force est de constater, comme l’ont retenu les premiers juges, que leurs déclarations contiennent des contradictions et incertitudes. Celles-ci portent sur le moment auquel l’appelant aurait eu connaissance de la restitution et d’échanges d’objets : son fils, I.P.________, a déclaré avoir donné des justificatifs sans préciser les retours et les échanges et ne l’en avoir informé que deux ou trois semaines après le cambriolage du 31 juillet 2012, alors que son fils, O.P.________, a déclaré que son père n’avait eu connaissance de la restitution d’objets qu’à la lecture de la lettre de l’intimée du 12 octobre 2012. Cela étant, l’appréciation des témoignages effectuée par les premiers juges, selon laquelle l’appelant avait eu connaissance de retours à tout le moins lors de l’entretien du 7 septembre 2012, peut être suivie en tout point. L’appelant ne parvient pas à démontrer qu’elle serait erronée, en contestant point par point leur analyse. Il soutient seulement que « les témoins ont été affirmatifs quant au fait que l’appelant n’avait pas connaissance de l’émission d’avoir par [...] », en reprenant partiellement leurs déclarations. L’appelant rappelle que, d’après son fils O.P.________, il s’était quelques mois plus tard montré « très surpris » lorsqu’il avait reçu un courrier de l’intimée lui indiquant que certains objets avaient en réalité été retournés au magasin contre remboursement ou contre un avoir. De plus, l’appelant ne se prononce pas sur la déclaration du même témoin en réponse à la question de savoir s’il avait effectivement d’emblée informé l’intimée des retours – ce à quoi le témoin a indiqué qu’il pensait que son père l’avait fait « après coup » « dans un courrier ultérieur » – et se prononce encore moins sur l’appréciation formulée par l’autorité inférieure. Or celle-ci a considéré, à juste titre, que les déclarations du fils O.P.________ révélaient au contraire que l’appelant aurait effectivement eu l’occasion d’informer spontanément l’intimée des retours, ou du moins qu’il avait eu des doutes quant à la présence de certains objets dans l’appartement, avant que celle-ci lui fasse part du résultat de ses investigations. Au demeurant, tel que retenu par les premiers juges, il serait très étonnant que les fils, qui avaient acheté les articles [...], n’eussent pas informé leur père des retours de marchandises, alors même que ceux-ci étaient récents et concernaient une part non négligeable des biens initialement acquis. Ce raisonnement est d’ailleurs conforté par le fait que ses enfants majeurs habitent sous le même toit que l’appelant, ce d’autant que la sœur, fille de celui-ci, a témoigné qu’elle en avait été informée. De surcroît, tant I.P.________ que D.P.________ ont déclaré que leur père avait bel et bien procédé à une vérification de la liste des objets volés. Il serait dès lors pour le moins surprenant qu’en ayant connaissance des retours figurant sur le justificatif du 4 juillet 2012, l’appelant n’eût pas requis de renseignements auprès de ses enfants au sujet d’une éventuelle restitution d’autres objets acquis le 21 mai 2012. 3.3.3.2 L’appréciation des témoignages par les premiers juges concorde avec l’appréciation qu’ils ont faite du contenu du courrier du 14 novembre 2012. Comme ils l’ont retenu – ce qui démontre qu’ils n’ont pas occulté l’échange de marchandises figurant dans les papiers transmis à l’assurance –, l’appelant a lui-même soutenu, dans ce courrier, avoir « d’emblée attiré votre attention [ndlr : celle de l’intimée] sur le fait que certaines marchandises avaient été retournées et échangées » dans la déclaration de sinistre du 3 août 2012. Partant, les premiers juges ont considéré que l’appelant avait ainsi admis qu’il avait connaissance des retours dans les jours qui ont immédiatement suivi le sinistre et ne saurait aujourd’hui prétendre ne l’avoir appris que le 13 octobre 2012, soit après réception du courrier de l’intimée. Ce raisonnement est exempt de tout reproche, dès lors que l’appelant lui-même a allégué (all. 52, p. 13 de la demande) qu’il soulignait dans ce courrier « que les pièces jointes à l’inventaire faisaient déjà état de retours de marchandises ». Par conséquent, c’est à juste titre que les premiers juges ont retenu que l’appelant ne pouvait ignorer l’existence de retours, si ce n’est au moment de remplir la déclaration de sinistre, à tout le moins lors de l’entretien du 7 septembre 2012. 3.3.3.3 Quant au fait – évoqué par l’appelant – de savoir si les enfants avaient ou non oublié de remettre les justificatifs de retour à leur père, il est sans pertinence. En l’occurrence, la question à résoudre est celle de savoir si le père avait eu connaissance de ces retours, peu importe la manière d’en prendre connaissance, celle-ci pouvant résulter d’une information orale entre les fils acheteurs et leur père. Cela découle d’ailleurs explicitement des déclarations d’I.P.________, qui a expressément indiqué, au sujet des quittances de remboursement des articles retournés, respectivement d’achat des articles échangés, y avoir repensé « après une ou deux semaines » et en avoir parlé à son père. Contrairement à ce que soutient l’appelant, cette affirmation ne concerne pas la seule marchandise échangée, mais tous les objets restitués, I.P.________ ayant déclaré s’être rendu compte de son erreur et avoir réalisé que des objets avaient été restitués. S’agissant du développement de l’appelant relatif à sa propre connaissance du contenu des valises, il n’est pas davantage déterminant. Si l’appelant n’avait effectivement pas connaissance du contenu précis des valises – tel que soutenu dans l’appel –, cela n’annihilerait pas pour autant la constatation selon laquelle il avait connaissance des retours ; s’il n’en avait pas connaissance au moment de remplir la déclaration de sinistre, il en avait connaissance à tout le moins lors de l’entretien du 7 septembre 2012, soit préalablement au courrier de l’assureur du 12 octobre 2012, tel que dûment constaté précédemment au consid. 3.3.3. 3.3.4 L’appelant se méprend ainsi lorsqu’il affirme que rien au dossier ne permettrait de déduire une intention dolosive. C’est à juste titre que les magistrats ont admis la réalisation de l’élément subjectif de l’art. 40 LCA, soit l’intention d’induire l’assurance en erreur. 3.3.5 Par surabondance, en ce qui concerne la réalisation de la condition objective de l’art. 40 LCA, l’appelant la remet en cause en estimant que, même si un ou plusieurs objets ont pu être retournés puis échangés, cela n’impliquerait pas un préjudice inférieur à celui mentionné dans l’inventaire, la valeur intrinsèque des objets [...] n’étant pas pour autant modifiée. Comme établi ci-dessus au considérant 3.3.2, les « six biens » déclarés comme volés étaient d’une valeur totale de 2'170 fr., alors que les trois biens acquis le même jour à la suite de leur restitution étaient d’une valeur totale de 2'190 francs. Toutefois, étant donné que le porte-clés «  [...] » de 295 fr. avait été restitué avant le cambriolage et que les deux autres biens, l’un de 555 fr. et l’autre de 1'340 fr., n’ont pas été déclarés comme volés à l’assurance, la déclaration de ces « six biens » comme objets volés pouvait influer à la hausse sur la prestation de l’assurance. Partant, la condition objective est aussi réalisée. 3.4 En définitive, l’art. 40 LCA n’a pas été violé, les premiers juges s’étant prononcés de manière correcte sur l’application de cette disposition. L’on ne saurait en outre leur reprocher d’avoir appliqué de manière erronée l’art. 3 al. 1 CC, selon lequel la bonne foi est présumée – la mauvaise foi devant ainsi être prouvée –, et d’avoir fait porter à l’appelant le fardeau de la preuve en violation de l’art. 40 LCA, puisque, comme vu précédemment, la preuve de la fraude a été apportée par l’assurance intimée (cf. supra consid. 3.3.2 et 3.3.3). 4. Au vu de ce qui précède, l’appel, manifestement infondé, doit être rejeté selon le mode procédural de l’art. 312 al. 1 CPC et le jugement attaqué doit être confirmé. Compte tenu de l’issue d’emblée prévisible de la procédure, il ne se justifie pas d’octroyer le bénéfice de l’assistance judiciaire à l’appelant (art. 117 al. 2 CPC ; cf. ATF 133 III 614 consid. 5). Les frais judiciaires de deuxième instance, arrêtés à 1'357 fr. (art. 62 al.1 TFJC [tarif des frais judiciaires du 28 septembre 2010 ; RSV 270.11.5]), seront mis à la charge de l’appelant,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