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499 vom 9. Mai 2016</w:t>
      </w:r>
    </w:p>
    <w:p>
      <w:r>
        <w:t>VD Tribunal cantonal, 2016-05-09, FR</w:t>
      </w:r>
    </w:p>
    <w:p>
      <w:r>
        <w:rPr>
          <w:b/>
        </w:rPr>
        <w:t xml:space="preserve">Quelle: </w:t>
      </w:r>
      <w:r>
        <w:t>https://mcp.opencaselaw.ch/entscheid/vd_findinfo_HC___2016___499</w:t>
      </w:r>
    </w:p>
    <w:p>
      <w:r>
        <w:t>FR: VD_FINDINFO HC / 2016 / 499 du 9 mai 2016</w:t>
      </w:r>
    </w:p>
    <w:p>
      <w:r>
        <w:t>IT: VD_FINDINFO HC / 2016 / 499 del 9 maggio 2016</w:t>
      </w:r>
    </w:p>
    <w:p>
      <w:pPr>
        <w:pStyle w:val="Heading2"/>
      </w:pPr>
      <w:r>
        <w:t>Regeste</w:t>
      </w:r>
    </w:p>
    <w:p>
      <w:r>
        <w:t>OBLIGATION D'ENTRETIEN, ENFANT, REVENU HYPOTHÉTIQUE, DIRECTIVE{INJONCTION}, DÉBITEUR | 276 al. 2 CC, 285 CC, 48 LDIP, 65 al. 1 LDIP</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w:t>
      </w:r>
    </w:p>
    <w:p>
      <w:r>
        <w:rPr>
          <w:b/>
        </w:rPr>
        <w:t>E. 1.2</w:t>
      </w:r>
    </w:p>
    <w:p>
      <w:r>
        <w:t>Formé en temps utile par une partie qui y a intérêt et portant sur des conclusions qui, dans leur dernier état devant le Tribunal de première instance et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 Tappy, Les voies de droit du nouveau Code de procédure civile, JdT 2010 III 134). Elle peut revoir librement la constatation des faits sur la base des preuves administrées en première instance (Jeandin, op. cit., n. 6 ad art. 310 CPC ; Tappy, op. cit., JdT 2010 III 135). Le large pouvoir d'examen en fait et en droit ainsi défini s'applique même si la décision attaquée est de nature provisionnelle (CACI 14 mars 2011/12 consid. 2, JdT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 e éd., Berne 2010, n.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w:t>
      </w:r>
    </w:p>
    <w:p>
      <w:r>
        <w:rPr>
          <w:b/>
        </w:rPr>
        <w:t>E. 2.3</w:t>
      </w:r>
    </w:p>
    <w:p>
      <w:r>
        <w:t>En l’espèce, l’appelant a produit la copie de quatre postulations en qualité de vendeur, envoyées entre le 30 mars et le 18 avril 2016, ainsi que des documents relatifs à sa participation à une mesure de soutien intensif et personnel de cinq mois, en vue de retrouver un emploi, organisée par le Service de l’emploi du 14 mars au 12 août 2016. Ces pièces sont recevables dans la mesure où elles sont toutes postérieures à l’ordonnance entreprise. Il en sera tenu compte dans la mesure utile à l’examen du litige.</w:t>
      </w:r>
    </w:p>
    <w:p>
      <w:r>
        <w:rPr>
          <w:b/>
        </w:rPr>
        <w:t>E. 3</w:t>
      </w:r>
    </w:p>
    <w:p>
      <w:r>
        <w:t>L’appelant reproche au premier juge d’avoir apprécié les faits de manière erronée en lui attribuant à tort un revenu hypothétique.</w:t>
      </w:r>
    </w:p>
    <w:p>
      <w:r>
        <w:rPr>
          <w:b/>
        </w:rPr>
        <w:t>E. 3.1</w:t>
      </w:r>
    </w:p>
    <w:p>
      <w:r>
        <w:t>À teneur de l'art. 285 al. 1 CC (Code civil suisse du 10 décembre 1907 ; RS 210), la contribution d'entretien doit correspondre aux besoins de l'enfant ainsi qu'à la situation et aux ressources des père et mère (TF 5A_511/2010 du</w:t>
      </w:r>
    </w:p>
    <w:p>
      <w:r>
        <w:rPr>
          <w:b/>
        </w:rPr>
        <w:t>E. 3.2</w:t>
      </w:r>
    </w:p>
    <w:p>
      <w:r>
        <w:t>En l’espèce, le premier juge a retenu que l'appelant, qui aura 30 ans en septembre 2016 et est en bonne santé, bénéficie d’une formation accomplie dans le domaine de la boulangerie-pâtisserie ainsi que d’une expérience professionnelle. Or, après quatre années de chômage, il s’était évertué à chercher uniquement un emploi de boulanger-pâtissier et n’avait produit que des recherches d’emploi faites entre le</w:t>
      </w:r>
    </w:p>
    <w:p>
      <w:r>
        <w:rPr>
          <w:b/>
        </w:rPr>
        <w:t>E. 4</w:t>
      </w:r>
    </w:p>
    <w:p>
      <w:r>
        <w:t>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 Das Lohnbuch 2014, Mindestlöhne sowie orts – und berufsübliche Löhne in der Schweiz, Zurich 2014 ; ATF 137 III 118 consid. 3.2, JdT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les règles d'expérience doivent être établies (TF 5A_152/2013 du 16 octobre 2013 consid.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5A_256/2015 du 13 août 2015 consid. 3.2.2 ; TF 5A_ 634/2013 du 12 mars 2014 consid. 3.1.1 ; TF 5A_587/2013 du 26 novembre 2013 consid. 6.1.1; TF 5A_588/2010 du 12 janvier 2011 consid. 2.3). Il est admissible de retenir un revenu hypothétique à l'encontre du débiteur d'une obligation d'entretien envers les enfants mineurs dont on pouvait exiger qu'il intensifie ses recherches d'emploi visant des emplois moins qualifiés quand bien même celui-ci a déjà effectué des recherches en ce sens (TF 5A_634/2013 du 12 mars 2014 consid. 3.2 ; TF 5A_891/2013 du 12 mars 2014 consid. 4.1.2, FamPra.ch 2014 p. 748).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w:t>
      </w:r>
    </w:p>
    <w:p>
      <w:r>
        <w:rPr>
          <w:b/>
        </w:rPr>
        <w:t>E. 4.1</w:t>
      </w:r>
    </w:p>
    <w:p>
      <w:r>
        <w:t>La capacité contributive du parent débirentier doit être appréciée en fonction de ses charges effectives. Seuls les montants réellement acquittés peuvent être pris en compte (TF 5A_835/2011 du 12 mars 2012 consid. 5). Les frais de recherche d'emploi sont pris en compte, dont la quotité relève du pouvoir d’appréciation du juge (Juge délégué CACI du 7 août 2015/280 consid. 12b ; Juge délégué CACI  28 mars 2011/23).</w:t>
      </w:r>
    </w:p>
    <w:p>
      <w:r>
        <w:rPr>
          <w:b/>
        </w:rPr>
        <w:t>E. 4.2</w:t>
      </w:r>
    </w:p>
    <w:p>
      <w:r>
        <w:t>En l’espèce, le premier juge a fixé le montant des frais de recherche d’emploi à 100 fr. en retenant que sur les soixante-deux postulations effectuées par l’appelant entre début septembre 2015 et fin avril 2016, la grande majorité avait été effectuée par visite auprès de cinquante-six boulangeries situées essentiellement à [...], [...] et [...]. Cette appréciation ne prête pas le flanc à la critique et peut être confirmée dans la mesure où l’appelant se borne à soutenir que le montant retenu par le premier juge à titre de frais de recherche d’emploi devrait être augmenté à un montant « usuel » de 150 fr. sans pour autant établir ce prétendu usage, ni que ses frais effectifs seraient supérieurs au montant retenu par le premier juge. 5. En définitive, l’appel doit être rejeté selon le mode procédural de l’art. 312 al. 1 CPC et l’ordonnance confirmée. La requête d’assistance judiciaire de l’appelant sera rejetée, l’appel s’avérant manifestement dénué de chances de succès (art. 117 let. b et 119 al. 3 CPC). La présente décision peut être rendue sans frais judiciaires de deuxième instance (art. 10 TFJC [tarif des frais judiciaires civils du 28 septembre 2010 ; RSV 270.11.5]). L’intimée n’ayant pas été invitée à se déterminer, il n’y a pas lieu de lui allouer des dépens de deuxième instance. Par ces motifs, le juge délégué de la Cour d’appel civile prononce : I. L’appel est rejeté. II. L’ordonnance est confirmée. III. La requête d’assistance judiciaire de l’appelant Q.________ est rejetée. IV. L’arrêt est rendu sans frais judiciaires de deuxième instance. V. L’arrêt motivé est exécutoire. Le juge délégué : La greffière : Du</w:t>
      </w:r>
    </w:p>
    <w:p>
      <w:r>
        <w:rPr>
          <w:b/>
        </w:rPr>
        <w:t>E. 8</w:t>
      </w:r>
    </w:p>
    <w:p>
      <w:r>
        <w:t>septembre 2015 et le 29 janvier 2016. Le magistrat a considéré qu’après quelques mois d’inactivité, l’appelant aurait pu chercher un emploi dans un autre domaine ou moins qualifié – par exemple dans la restauration ou la construction – quitte à poursuivre ses recherches en cours d’emploi afin d’obtenir un poste correspondant plus à ses aspirations. Retenant que les derniers salaires réalisés par l’appelant en 2012 s’élevaient à 4'435 fr. bruts par mois – montant correspondant au salaire assuré auprès de l’assurance-chômage – et que le salaire minimum des personnes au bénéfice d’une formation professionnelle initiale achevée s’élève à 4'108 fr brut par mois dans le domaine de la restauration, et à 4'413 fr. brut par mois dans celui de la construction, le premier juge a fixé le montant du revenu hypothétique mensuel net qu’il convenait d’attribuer à l’appelant à 3'570 fr. 20. L'appréciation du premier juge, qui repose sur des éléments objectifs et tient compte de la conjoncture actuelle, doit être confirmée. En effet, au vu de la jurisprudence rappelée ci-dessus (cf. consid. 3.1), c’est en vain que l’appelant allègue avoir effectué toutes les recherches qu’on pouvait attendre de lui puisqu’il a perçu les indemnités de chômage. Par ailleurs, le fait que l’appelant se soit enfin décidé, après réception de la décision attaquée, à diversifier ses recherches d’emploi, ne permet pas de retenir qu’il a entrepris toutes les démarches que l’on pouvait exiger de lui, ses efforts étant bien trop récents et relativement peu étendus pour être pris en compte. 4. L’appelant reproche ensuite au premier juge d’avoir arrêté le montant retenu à titre de frais de recherche d’emploi à 100 fr. en lieu et place du montant « usuel » de 150 francs.</w:t>
      </w:r>
    </w:p>
    <w:p>
      <w:r>
        <w:rPr>
          <w:b/>
        </w:rPr>
        <w:t>E. 10</w:t>
      </w:r>
    </w:p>
    <w:p>
      <w:r>
        <w:t>mai 2016 Le dispositif du présent arrêt est communiqué par écrit aux intéressés. La greffière : Du Le présent arrêt, dont la rédaction a été approuvée à huis clos, est notifié en expédition complète à : ‑ Me Anne-Rebecca Bula (pour Q.________), ‑ Me Ronald Frischknecht (pour K.________),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