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477 vom 3. Mai 2016</w:t>
      </w:r>
    </w:p>
    <w:p>
      <w:r>
        <w:t>VD Tribunal cantonal, 2016-05-03, FR</w:t>
      </w:r>
    </w:p>
    <w:p>
      <w:r>
        <w:rPr>
          <w:b/>
        </w:rPr>
        <w:t xml:space="preserve">Quelle: </w:t>
      </w:r>
      <w:r>
        <w:t>https://mcp.opencaselaw.ch/entscheid/vd_findinfo_HC___2016___477</w:t>
      </w:r>
    </w:p>
    <w:p>
      <w:r>
        <w:t>FR: VD_FINDINFO HC / 2016 / 477 du 3 mai 2016</w:t>
      </w:r>
    </w:p>
    <w:p>
      <w:r>
        <w:t>IT: VD_FINDINFO HC / 2016 / 477 del 3 maggio 2016</w:t>
      </w:r>
    </w:p>
    <w:p>
      <w:pPr>
        <w:pStyle w:val="Heading2"/>
      </w:pPr>
      <w:r>
        <w:t>Regeste</w:t>
      </w:r>
    </w:p>
    <w:p>
      <w:r>
        <w:t>FRAIS JUDICIAIRES, TRANSACTION{ACCORD}, RÉDUCTION{EN GÉNÉRAL}, PRINCIPE DE LA COUVERTURE DES FRAIS, PRINCIPE DE L'ÉQUIVALENCE{CONTRIBUTION CAUSALE} | 18 TFJC, 22 TFJC</w:t>
      </w:r>
    </w:p>
    <w:p>
      <w:pPr>
        <w:pStyle w:val="Heading2"/>
      </w:pPr>
      <w:r>
        <w:t>Erwägungen</w:t>
      </w:r>
    </w:p>
    <w:p>
      <w:r>
        <w:rPr>
          <w:b/>
        </w:rPr>
        <w:t>E. 1</w:t>
      </w:r>
    </w:p>
    <w:p>
      <w:r>
        <w:t>La décision sur frais ne peut être attaquée séparément que par un recours (art. 110 CPC [Code de procédure civile suisse du 19 décembre 2008 ; RS 272]). Lorsque la décision a été rendue en procédure ordinaire, le recours, écrit et motivé, doit être déposé dans un délai de trente jours à compter de la notification (art. 321 al. 1 CPC). En l'espèce, déposé en temps utile par une partie qui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2011, n. 4 et 5 ad art. 321 CPC et les réf. cit.).</w:t>
      </w:r>
    </w:p>
    <w:p>
      <w:r>
        <w:rPr>
          <w:b/>
        </w:rPr>
        <w:t>E. 3.1</w:t>
      </w:r>
    </w:p>
    <w:p>
      <w:r>
        <w:t>La recourante fait d'abord grief au premier juge d’avoir violé son droit à une décision motivée. Elle soutient que le prononcé ne permettrait pas de comprendre les critères de fixation des frais judiciaires.</w:t>
      </w:r>
    </w:p>
    <w:p>
      <w:r>
        <w:rPr>
          <w:b/>
        </w:rPr>
        <w:t>E. 3.2</w:t>
      </w:r>
    </w:p>
    <w:p>
      <w:r>
        <w:t>Le droit d'être entendu est une garantie constitutionnelle (art. 29 al. 2 Cst.)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w:t>
      </w:r>
    </w:p>
    <w:p>
      <w:r>
        <w:rPr>
          <w:b/>
        </w:rPr>
        <w:t>E. 3.3</w:t>
      </w:r>
    </w:p>
    <w:p>
      <w:r>
        <w:t>En l’espèce, le prononcé entrepris se réfère aux art. 18 et 22 al. 1 TFJC (tarif des frais judiciaires civils du 28 septembre 2010 ; RSV 270.11.5) pour le calcul des frais judiciaires. La simple lecture de ces dispositions permet de comprendre que l'émolument forfaitaire prévu par la première a été réduit des trois quarts, conformément à la seconde. Assistée d'un homme de loi, la recourante a parfaitement compris la motivation de la décision et est d’ailleurs en mesure de la contester utilement en deuxième instance, en formulant des griefs précis. On ne discerne donc pas de violation du droit à une décision motivée.</w:t>
      </w:r>
    </w:p>
    <w:p>
      <w:r>
        <w:rPr>
          <w:b/>
        </w:rPr>
        <w:t>E. 4.1</w:t>
      </w:r>
    </w:p>
    <w:p>
      <w:r>
        <w:t>La recourante soutient ensuite que le prononcé entrepris violerait les principes de la couverture des frais et de l'équivalence.</w:t>
      </w:r>
    </w:p>
    <w:p>
      <w:r>
        <w:rPr>
          <w:b/>
        </w:rPr>
        <w:t>E. 4.2</w:t>
      </w:r>
    </w:p>
    <w:p>
      <w:r>
        <w:t>Les émoluments judiciaires sont des contributions causales qui dépendent des coûts. A ce titre, ils doivent respecter les principes de la couverture des frais et de l'équivalence (ATF 120 la 171 consid. 2a et les arrêts cités). Le principe de la couverture des frais implique que l'ensemble des ressources provenant d'un émolument ne soit pas supérieur à l'ensemble des dépenses de la collectivité pour l'activité administrative en cause. Quant au principe de l'équivalence, il suppose que le montant de chaque émolument soit en rapport avec la valeur objective de la prestation fournie et reste dans des limites raisonnables (ATF 130 III 225 consid. 2.3 ; ATF 121 I 230 consid. 3g/bb et les arrêts cités). La valeur de la prestation se mesure soit à son utilité pour le justiciable, soit à son coût par rapport à l'ensemble des dépenses de l'activité administrative en cause (ATF 130 III 225 consid. 2.3 ; ATF 120 la 171 consid. 2a et les références). Pour respecter le principe de l'équivalence, il faut que l'émolument soit raisonnablement proportionné à la prestation de l'administration, ce qui n'exclut cependant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(ATF 120 la 171 consid. 2a ; ATF 106 la 241 consid. 3a ; ATF 106 Ia 249 consid. 3b).</w:t>
      </w:r>
    </w:p>
    <w:p>
      <w:r>
        <w:rPr>
          <w:b/>
        </w:rPr>
        <w:t>E. 4.3</w:t>
      </w:r>
    </w:p>
    <w:p>
      <w:r>
        <w:t>En l'espèce, c’est en vain que la recourante se prévaut de la violation du principe de la couverture des frais et du principe de l'équivalence. En effet, l'art. 22 al. 1 TFJC est la consécration du principe d'équivalence, lorsque le procès prend fin prématurément par une des causes prévues aux art. 241 ou 242 CPC, et la réduction de trois-quarts de l'émolument repose sur la réduction correspondante du travail accompli par l'autorité judiciaire, la procédure menée jusqu'à la première audience impliquant déjà plusieurs opérations pour le greffe et le magistrat saisi. Le relevé des opérations comporte ainsi 37 inscriptions concernant l'avancement de la procédure, allant du 6 juin 2014 au 5 avril 2016. Ces opérations concernent non seulement la procédure incidente de suspension, mais également l'échange d'écritures, en particulier les différends au sujet de la nécessité d'un second échange d'écritures. Le juge délégué de la chambre patrimoniale a ainsi examiné de nombreux courriers et a tranché différentes requêtes durant les presque deux ans de la procédure, de sorte que rien ne permet de considérer que la réduction des trois quarts de l'émolument, conformément à l'art. 22 al. 1 TFJC, ne correspondrait pas à une application correcte du principe d'équivalence. Quant au principe de la couverture des frais, il est notoire que les causes présentant une valeur litigieuse élevée, comme en l'espèce, compensent en quelque sorte les très nombreuses causes dont la valeur litigieuse est faible et ne permettent pas aux autorités judiciaires d'assurer une couverture suffisante des frais. Il n'y a pas eu non plus d’entrave inadmissible de l'accès à la justice, puisque la recourante a été en mesure d'effectuer l'avance de frais et que l'essentiel de cette avance lui sera restituée.</w:t>
      </w:r>
    </w:p>
    <w:p>
      <w:r>
        <w:rPr>
          <w:b/>
        </w:rPr>
        <w:t>E. 5</w:t>
      </w:r>
    </w:p>
    <w:p>
      <w:r>
        <w:t>Il s’ensuit que le recours doit être rejeté selon le mode procédural de l’art. 322 al. 1 CPC et le prononcé entrepris confirmé. Les frais judiciaires de deuxième instance, arrêtés à 600 fr. (art. 69 al. 1 et 70 al. 3 TFJC), doivent être mis à la charge de la recourante, qui succombe (art. 106 al. 1 CPC). Par ces motifs, la Chambre des recours civile du Tribunal cantonal, en application de l'art. 322 al. 1 CPC, prononce : I. Le recours est rejeté. II. Le prononcé est confirmé. III. Les frais judiciaires de deuxième instance, arrêtés à 600 fr. (six cents francs), sont mis à la charge de la recourante S.________. IV. L’arrêt motivé est exécutoire. Le président :               Le greffier : Du 4 mai 2016 Le dispositif de l'arrêt qui précède est communiqué par écrit aux intéressés. Le greffier : Du L'arrêt qui précède, dont la rédaction a été approuvée à huis clos, est notifié en expédition complète, par l'envoi de photocopies, à : ‑ Me Philippe Nordmann (pour 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