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473 vom 3. Mai 2016</w:t>
      </w:r>
    </w:p>
    <w:p>
      <w:r>
        <w:t>VD Tribunal cantonal, 2016-05-03, FR</w:t>
      </w:r>
    </w:p>
    <w:p>
      <w:r>
        <w:rPr>
          <w:b/>
        </w:rPr>
        <w:t xml:space="preserve">Quelle: </w:t>
      </w:r>
      <w:r>
        <w:t>https://mcp.opencaselaw.ch/entscheid/vd_findinfo_HC___2016___473</w:t>
      </w:r>
    </w:p>
    <w:p>
      <w:r>
        <w:t>FR: VD_FINDINFO HC / 2016 / 473 du 3 mai 2016</w:t>
      </w:r>
    </w:p>
    <w:p>
      <w:r>
        <w:t>IT: VD_FINDINFO HC / 2016 / 473 del 3 maggio 2016</w:t>
      </w:r>
    </w:p>
    <w:p>
      <w:pPr>
        <w:pStyle w:val="Heading2"/>
      </w:pPr>
      <w:r>
        <w:t>Regeste</w:t>
      </w:r>
    </w:p>
    <w:p>
      <w:r>
        <w:t>EXPULSION DE LOCATAIRE, BAIL À LOYER, RÉSILIATION, TERME COMMINATOIRE, CAS CLAIR | 257d CO, 257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étant de 980 fr., charges comprises, la valeur litigieuse est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314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24 juin 2015/325 consid. 2 ; CACI 25 novembre 2014/607 consid. 3a ; CACI 6 mars 2014/102 consid. 2b ; CACI 10 juin 2013/289 consid. 4a). En l’espèce, les pièces produites par les appelants sont toutes nouvelles, de sorte qu’elles sont irrecevables.</w:t>
      </w:r>
    </w:p>
    <w:p>
      <w:r>
        <w:rPr>
          <w:b/>
        </w:rPr>
        <w:t>E. 3.1</w:t>
      </w:r>
    </w:p>
    <w:p>
      <w:r>
        <w:t>Les appelants font valoir qu’ils ont été à jour dans le versement de leur loyer jusqu’en août 2015, mais qu’ils alors ont connu d’importantes difficultés, B.R.________ ayant été au bénéfice du revenu d’insertion depuis le 1 er septembre 2015 et ayant ensuite été reconnu invalide à 100 % par l’assurance invalidité. Les appelants soutiennent qu’ils auraient transmis au Centre social régional (ci-après : CSR) la mise en demeure du 15 septembre 2015 en date du 23 septembre 2015, mais que les démarches auraient pris du temps, de sorte que le CSR n’a pas versé le loyer en retard dans le délai de trente jours. Ils soulignent encore que le 2 octobre 2015, ils auraient informé la gérance que le loyer serait payé par les services sociaux. Ils font enfin valoir que B.R.________ serait gravement malade et dans l’impossibilité de déménager.</w:t>
      </w:r>
    </w:p>
    <w:p>
      <w:r>
        <w:rPr>
          <w:b/>
        </w:rPr>
        <w:t>E. 3.2</w:t>
      </w:r>
    </w:p>
    <w:p>
      <w:r>
        <w:t>Selon l’art. 257d al. 1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CO précise que, faute de paiement dans le délai, le bailleur peut résilier le contrat avec effet immédiat ; les baux d’habitation ou de locaux commerciaux peuvent être résiliés moyennant un délai de congé minimum de trente jours pour la fin du mois.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Cahiers du bail [CdB] 2009 p. 8; TF 4A_299/2011 du 7 juin 2011 consid. 4).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consid. 2b p. 68; TF 4A_252/2014 du 28 mai 2014 consid. 4.2; TF 4C_74/2006 du 12 mai 2006 consid. 3.2.1; Lachat, Le bail à loyer, 2 e éd., 2008, note infrapaginale 117 p. 820). Ils peuvent cependant être pris en compte au stade de l'exécution forcée, en application du principe général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(TF 4A_207/2014 du 19 mai 2014). En tout état de cause,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les réf. citées). Cette jurisprudence garde sa pertinence sous l’empire du CPC (CACI 12 août 2011/194 ; CACI 27 juillet 2011/175).</w:t>
      </w:r>
    </w:p>
    <w:p>
      <w:r>
        <w:rPr>
          <w:b/>
        </w:rPr>
        <w:t>E. 3.3</w:t>
      </w:r>
    </w:p>
    <w:p>
      <w:r>
        <w:t>En l’espèce, la résiliation du bail est fondée sur les avis comminatoires du 15 septembre 2015 impartissant aux appelants un délai de trente jours pour payer les loyers de l’appartement, soit un solde de 440 fr. échu le 28 août 2015 et un solde de 540 fr. échu le 1 er septembre 2015. Certes, le rappel envoyé à A.R.________ concerne également l’arriéré de loyer d’un dépôt secondaire pour 401 francs. Les comminations sont toutefois claires et, même si celle qui a été adressée à l’appelante concerne un autre local, on ne saurait considérer qu’elles prêtent à confusion. Les avis ont été envoyés à chaque locataire séparément. Le montant de l’arriéré n’a pas été payé dans le délai imparti et les appelants ne le contestent d’ailleurs pas. Ils se bornent à faire valoir qu’ils auraient informé la gérance que le CSR allait verser le loyer et qu’ils auraient entrepris toutes les démarches à temps. Toutefois, le fait que le retard dans le paiement de l’arriéré de loyer ne soit pas imputable aux appelants, mais à des lenteurs administratives, ne modifie pas leur situation dès lors qu’ils restent personnellement débiteurs du loyer et que les erreurs éventuelles de tiers leur sont imputables. La bailleresse était ainsi fondée à résilier le bail. Au surplus, compte tenu de l'effet suspensif résultant ex lege de l'appel et de la durée de la procédure d'appel, les appelants auront de fait obtenu une prolongation du délai de libération à l'issue de la présente procédure. Le bail ayant été résilié avec effet au 30 novembre 2015, ils auront en définitive bénéficié d'une période de près de six mois pour organiser leur relogement, ce qui est largement supérieur au délai d'un mois admis par la jurisprudence. Il n’est au demeurant pas établi que B.R.________ serait gravement malade et dans l’incapacité de déménager.</w:t>
      </w:r>
    </w:p>
    <w:p>
      <w:r>
        <w:rPr>
          <w:b/>
        </w:rPr>
        <w:t>E. 4</w:t>
      </w:r>
    </w:p>
    <w:p>
      <w:r>
        <w:t>Il s'ensuit que l'appel doit être rejeté selon le mode procédural de l'art. 312 al. 1 CPC et l'ordonnance entreprise confirmée. La cause sera renvoyée au Juge de paix du district de la Riviera – Pays-d’Enhaut pour qu'il fixe aux locataires, une fois les considérants écrits du présent arrêt envoyés à ceux-ci pour notification, un nouveau délai pour libérer les locaux qu'ils occupent dans l'immeuble sis avenue [...], à Montreux. Les frais judiciaires de deuxième instance, arrêtés à 100 fr. (art. 62 al. 3 et 69 al. 1 TFJC [tarif des frais judiciaires en matière civile du 28 septembre 2010 ; RSV 270.11.5]), seront mis solidairement à la charge des appelants, qui succombent (art. 106 al. 1 et 3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