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47 vom 12. Januar 2016</w:t>
      </w:r>
    </w:p>
    <w:p>
      <w:r>
        <w:t>VD Tribunal cantonal, 2016-01-12, FR</w:t>
      </w:r>
    </w:p>
    <w:p>
      <w:r>
        <w:rPr>
          <w:b/>
        </w:rPr>
        <w:t xml:space="preserve">Quelle: </w:t>
      </w:r>
      <w:r>
        <w:t>https://mcp.opencaselaw.ch/entscheid/vd_findinfo_HC___2016___47</w:t>
      </w:r>
    </w:p>
    <w:p>
      <w:r>
        <w:t>FR: VD_FINDINFO HC / 2016 / 47 du 12 janvier 2016</w:t>
      </w:r>
    </w:p>
    <w:p>
      <w:r>
        <w:t>IT: VD_FINDINFO HC / 2016 / 47 del 12 gennaio 2016</w:t>
      </w:r>
    </w:p>
    <w:p>
      <w:pPr>
        <w:pStyle w:val="Heading2"/>
      </w:pPr>
      <w:r>
        <w:t>Regeste</w:t>
      </w:r>
    </w:p>
    <w:p>
      <w:r>
        <w:t>SUSPENSION DE LA PROCÉDURE, DÉCISION D'IRRECEVABILITÉ, EFFET DÉVOLUTIF | 126 al. 2 CPC (CH)</w:t>
      </w:r>
    </w:p>
    <w:p>
      <w:pPr>
        <w:pStyle w:val="Heading2"/>
      </w:pPr>
      <w:r>
        <w:t>Erwägungen</w:t>
      </w:r>
    </w:p>
    <w:p>
      <w:r>
        <w:rPr>
          <w:b/>
        </w:rPr>
        <w:t>E. 1</w:t>
      </w:r>
    </w:p>
    <w:p>
      <w:r>
        <w:t>Le premier juge a rendu la décision de suspension du 24 novembre 2015 en application de l'art. 207 LP, considérant qu'aucune des exceptions à la suspension du procès en cas de faillite prévue par cette disposition n'était réalisée. Il a indiqué qu'un recours au sens des art. 319 ss CPC pouvait être formé dans un délai de dix jours, faisant implicitement application de l'art. 126 al. 2 CPC. Or, dans la mesure où, en l'espèce, la décision attaquée du 24 novembre 2015 porte sur une procédure provisionnelle, dont l'ordonnance a préalablement fait l'objet d'un appel – interjeté le 12 octobre 2015 – actuellement pendant auprès du Juge délégué de la Cour d'appel civile, la question de la suspension de la procédure provisionnelle ne pouvait être tranchée par le Juge délégué de la Chambre patrimoniale, mais devait l’être par le Juge d'appel exclusivement, au vu de l'effet dévolutif de l'appel. La décision attaquée ne peut donc pas être qualifiée d'ordonnance de suspension au sens de l'art. 126 CPC, contre laquelle le recours de l'art. 319 let. b. ch. 1 CPC serait ouvert en vertu de l’al. 2 de l’art. 126 CPC (Haldy, CPC commenté, Bâle 2011, n. 9 ad art. 126 CPC ; CREC 2 novembre 2015/379), contrairement à ce qu'a retenu le premier juge, étant rappelé par ailleurs que l’indication erronée d’une voie de droit ne saurait créer une voie de droit inexistante (ATF 129 III 88 consid. 2.1 in fine ; ATF 119 IV 330 consid. 1c; TF 4D_82/2012 du 30 octobre 2012 consid. 2.2). Cette solution est encore confirmée par la teneur des conclusions des recourants qui tend à faire déclarer caduques les mesures provisionnelles, ce qui est du seul ressort du Juge délégué de la Cour d’appel civile.</w:t>
      </w:r>
    </w:p>
    <w:p>
      <w:r>
        <w:rPr>
          <w:b/>
        </w:rPr>
        <w:t>E. 2</w:t>
      </w:r>
    </w:p>
    <w:p>
      <w:r>
        <w:t>Il résulte de ce qui précède que le recours doit être déclaré irrecevable. L’arrêt peut être rendu sans frais judiciaires de deuxième instance (art. 11 TFJC [tarif des frais judiciaires civils du 28 septembre 2010 ; RSV 270.11.5]). Il n’y a pas lieu d’allouer de dépens à l’intimé, qui n’a pas été invité à se déterminer. Par ces motifs, la Chambre des recours civile du Tribunal cantonal, en application de l'art. 322 al. 1 CPC, prononce : I. Le recours est irrecevable. II. L’arrêt, rendu sans frais judiciaires, est exécutoire. Le président :               Le greffier : Du L'arrêt qui précède, dont la rédaction a été approuvée à huis clos, est notifié à : ‑ Me Jacques Ballenegger, avocat (pour Q.________ et T.________), ‑ Me Philippe Reymond, avocat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