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436 vom 3. Mai 2016</w:t>
      </w:r>
    </w:p>
    <w:p>
      <w:r>
        <w:t>VD Tribunal cantonal, 2016-05-03, FR</w:t>
      </w:r>
    </w:p>
    <w:p>
      <w:r>
        <w:rPr>
          <w:b/>
        </w:rPr>
        <w:t xml:space="preserve">Quelle: </w:t>
      </w:r>
      <w:r>
        <w:t>https://mcp.opencaselaw.ch/entscheid/vd_findinfo_HC___2016___436</w:t>
      </w:r>
    </w:p>
    <w:p>
      <w:r>
        <w:t>FR: VD_FINDINFO HC / 2016 / 436 du 3 mai 2016</w:t>
      </w:r>
    </w:p>
    <w:p>
      <w:r>
        <w:t>IT: VD_FINDINFO HC / 2016 / 436 del 3 maggio 2016</w:t>
      </w:r>
    </w:p>
    <w:p>
      <w:pPr>
        <w:pStyle w:val="Heading2"/>
      </w:pPr>
      <w:r>
        <w:t>Regeste</w:t>
      </w:r>
    </w:p>
    <w:p>
      <w:r>
        <w:t>ACTION EN PATERNITÉ, FRAIS JUDICIAIRES | 106 al. 1 CPC (CH), 107 al. 1 let. c CPC (CH), 110 CPC (CH)</w:t>
      </w:r>
    </w:p>
    <w:p>
      <w:pPr>
        <w:pStyle w:val="Heading2"/>
      </w:pPr>
      <w:r>
        <w:t>Erwägungen</w:t>
      </w:r>
    </w:p>
    <w:p>
      <w:r>
        <w:rPr>
          <w:b/>
        </w:rPr>
        <w:t>E. 1.1</w:t>
      </w:r>
    </w:p>
    <w:p>
      <w:r>
        <w:t>Lorsque seule la décision sur les frais est litigieuse, elle ne peut être attaquée que par un recours (art. 110 et 319 let. b ch. 1 CPC; Tappy, CPC commenté, Bâle 2011, n. 3 ad art. 110 CPC, p. 437). Tel est le cas en l’espèce, les recourants contestant la mise à leur charge des frais judiciaires.</w:t>
      </w:r>
    </w:p>
    <w:p>
      <w:r>
        <w:rPr>
          <w:b/>
        </w:rPr>
        <w:t>E. 1.2</w:t>
      </w:r>
    </w:p>
    <w:p>
      <w:r>
        <w:t>Lorsque les parties reçoivent le dispositif d’une décision, les parties peuvent soit en demander la motivation, conformément à l’art. 239 al. 2 CPC, soit recourir immédiatement, un recours prématuré étant recevable (TF 5A_566/2009 du 29 septembre 2010 consid. 1.4). En l’espèce, adressé en temps utile à l’autorité compétente par une personne qui y a un intérêt digne de protection (art. 59 al. 1 let. a CPC), le recours, bien que prématuré, est recevable.</w:t>
      </w:r>
    </w:p>
    <w:p>
      <w:r>
        <w:rPr>
          <w:b/>
        </w:rPr>
        <w:t>E. 2</w:t>
      </w:r>
    </w:p>
    <w:p>
      <w:r>
        <w:t>e éd., Berne 2010, n. 2508, p. 452).</w:t>
      </w:r>
    </w:p>
    <w:p>
      <w:r>
        <w:rPr>
          <w:b/>
        </w:rPr>
        <w:t>E. 3.1</w:t>
      </w:r>
    </w:p>
    <w:p>
      <w:r>
        <w:t>Les recourants font valoir qu’ils n’ont pas eu « la possibilité de refuser la procédure », qu’ils n’avaient pas de motifs de la refuser dès lors qu’ils connaissaient déjà le lien de filiation, que toutefois s'ils avaient su que des frais pourraient être mis à leur charge, ils auraient « refusé la procédure », qu’ils n’avaient pas provoqué la procédure et qu’étant encore en formation, ils n’avaient pas les moyens de régler les frais judiciaires.</w:t>
      </w:r>
    </w:p>
    <w:p>
      <w:r>
        <w:rPr>
          <w:b/>
        </w:rPr>
        <w:t>E. 3.2</w:t>
      </w:r>
    </w:p>
    <w:p>
      <w:r>
        <w:t>Les frais, qui comprennent les dépens (art. 95 al. 1 CPC), sont mis à la charge de la partie succombante. La partie succombante est le demandeur lorsque le tribunal n'entre pas en matière et en cas de désistement d'action ; elle est le défendeur en cas d'acquiescement (art. 106 al. 1 CPC). Lorsqu'aucune des parties n'obtient entièrement gain de cause, les frais sont répartis selon le sort de la cause (art. 106 al. 2 CPC). Selon l'art. 107 al. 1 CPC, le tribunal peut s'écarter des règles générales prévues par l'art. 106 CPC et répartir les frais selon sa libre appréciation lorsque le litige relève du droit de la famille (let. c) ou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III 358).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op. cit., nn. 5 et 6 ad art. 107 CPC). Abrogé au 31 décembre 2010, l’art. 147 al. 3 aCC, interdisant de mettre les frais judiciaires ou des dépens à la charge d’un enfant représenté par un curateur, ne se retrouve pas dans le nouveau Code. Selon Tappy, cette règle devrait subsister à titre de solution d’équité dans le cadre de l’art. 107 al. 1 let. c, mais sans désormais constituer une règle absolue (Tappy, op. cit. n. 20 ad art. 107 CPC).</w:t>
      </w:r>
    </w:p>
    <w:p>
      <w:r>
        <w:rPr>
          <w:b/>
        </w:rPr>
        <w:t>E. 3.3</w:t>
      </w:r>
    </w:p>
    <w:p>
      <w:r>
        <w:t>En l'espèce, les recourants ne contestent pas la quotité des frais, mais uniquement le fait qu'ils aient été mis à leur charge. A cet égard, les premiers juges ont considéré que les frais devaient être mis à la charge des défendeurs, solidairement entre eux, dès lors que les conclusions de la demanderesse avaient été intégralement admises. Par ailleurs, l'équité exigeait que les frais ne soient pas mis à la charge d'un enfant mineur représenté par curateur. Le raisonnement des premiers juges peut être confirmé. Il n’y a pas lieu de mettre les frais à la charge de la demanderesse pour des motifs d'équité mais à la charge des défendeurs en lieu et place de leur père décédé.</w:t>
      </w:r>
    </w:p>
    <w:p>
      <w:r>
        <w:rPr>
          <w:b/>
        </w:rPr>
        <w:t>E. 4</w:t>
      </w:r>
    </w:p>
    <w:p>
      <w:r>
        <w:t>mai 2016 Le dispositif de l'arrêt qui précède est communiqué par écrit aux intéressés. La greffière : Du L'arrêt qui précède, dont la rédaction a été approuvée à huis clos, est notifié en expédition complète, par l'envoi de photocopies, à : ‑ Mme et M. B.J.________ et A.J.________, ‑ Me Christophe Tafelmacher (pour R.________). La Chambre des recours civile considère que la valeur litigieuse est de 1'900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