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2016 / 428 vom 26. April 2016</w:t>
      </w:r>
    </w:p>
    <w:p>
      <w:r>
        <w:t>VD Tribunal cantonal, 2016-04-26, FR</w:t>
      </w:r>
    </w:p>
    <w:p>
      <w:r>
        <w:rPr>
          <w:b/>
        </w:rPr>
        <w:t xml:space="preserve">Quelle: </w:t>
      </w:r>
      <w:r>
        <w:t>https://mcp.opencaselaw.ch/entscheid/vd_findinfo_HC___2016___428</w:t>
      </w:r>
    </w:p>
    <w:p>
      <w:r>
        <w:t>FR: VD_FINDINFO HC / 2016 / 428 du 26 avril 2016</w:t>
      </w:r>
    </w:p>
    <w:p>
      <w:r>
        <w:t>IT: VD_FINDINFO HC / 2016 / 428 del 26 aprile 2016</w:t>
      </w:r>
    </w:p>
    <w:p>
      <w:pPr>
        <w:pStyle w:val="Heading2"/>
      </w:pPr>
      <w:r>
        <w:t>Regeste</w:t>
      </w:r>
    </w:p>
    <w:p>
      <w:r>
        <w:t>BAIL À LOYER, PAIEMENT, LOYER, SOMMATION, CAS CLAIR, MOTIVATION DE LA DEMANDE, CONCLUSIONS | 257d CO, 7 RULV, 311 CPC (CH)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Il résulte des considérants qui précèdent que l’appel doit être déclaré irrecevable selon le mode procédural de l’art. 312 al. 1 CPC. Les frais judiciaires de deuxième instance, arrêtés à 400 fr. (art. 62 al. 3 et 69 al. 1 TFJC [tarif des frais judiciaires civils du 28 septembre 2010 ; RSV 270.11.5]), doivent être mis à la charge de l’appelant, qui succombe (art. 106 al. 1 CPC). Il n’y a pas lieu d’allouer de dépens aux intimés, qui n’ont pas été invités à se déterminer.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