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409 vom 2. Mai 2016</w:t>
      </w:r>
    </w:p>
    <w:p>
      <w:r>
        <w:t>VD Tribunal cantonal, 2016-05-02, FR</w:t>
      </w:r>
    </w:p>
    <w:p>
      <w:r>
        <w:rPr>
          <w:b/>
        </w:rPr>
        <w:t xml:space="preserve">Quelle: </w:t>
      </w:r>
      <w:r>
        <w:t>https://mcp.opencaselaw.ch/entscheid/vd_findinfo_HC___2016___409</w:t>
      </w:r>
    </w:p>
    <w:p>
      <w:r>
        <w:t>FR: VD_FINDINFO HC / 2016 / 409 du 2 mai 2016</w:t>
      </w:r>
    </w:p>
    <w:p>
      <w:r>
        <w:t>IT: VD_FINDINFO HC / 2016 / 409 del 2 maggio 2016</w:t>
      </w:r>
    </w:p>
    <w:p>
      <w:pPr>
        <w:pStyle w:val="Heading2"/>
      </w:pPr>
      <w:r>
        <w:t>Regeste</w:t>
      </w:r>
    </w:p>
    <w:p>
      <w:r>
        <w:t>DÉCISION D'IRRECEVABILITÉ, DÉLAI, PROCÉDURE SOMMAIRE, EXPULSION DE LOCATAIRE, CALCUL DU DÉLAI | 312 al. 1 CPC (CH), 314 al. 1 CPC (CH)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A.F.________ a retiré le pli recommandé en date du 12 avril 2016.</w:t>
      </w:r>
    </w:p>
    <w:p>
      <w:r>
        <w:rPr>
          <w:b/>
        </w:rPr>
        <w:t>E. 3</w:t>
      </w:r>
    </w:p>
    <w:p>
      <w:r>
        <w:t>Par courrier daté du 24 avril 2016, envoyé par pli recommandé le 25 avril 2016 à 17 h 37, A.F.________ a fait appel de l’ordonnance précitée auprès du Tribunal cantonal, en concluant à son annulation. Cet acte faisait mention de l’ordonnance entreprise du 8 avril 2016. L’intimée n’a pas été invitée à se déterminer.</w:t>
      </w:r>
    </w:p>
    <w:p>
      <w:r>
        <w:rPr>
          <w:b/>
        </w:rPr>
        <w:t>E. 4</w:t>
      </w:r>
    </w:p>
    <w:p>
      <w:r>
        <w:t>Aux termes de l’art. 314 al. 1 CPC, si la décision a été rendue en procédure sommaire, le délai pour l’introduction de l’appel et le dépôt de la réponse est de dix jours à compter de la notification de la décision. Les citations, les ordonnances et les décisions sont notifiées par envoi recommandé ou d’une autre manière contre accusé de réception (art. 138 al. 1 CPC). L’acte est réputé notifié lorsqu’il a été remis au destinataire, à un de ses employés ou à une personne de seize ans au moins vivant dans le même ménage (art. 138 al. 2 CPC).</w:t>
      </w:r>
    </w:p>
    <w:p>
      <w:r>
        <w:rPr>
          <w:b/>
        </w:rPr>
        <w:t>E. 5</w:t>
      </w:r>
    </w:p>
    <w:p>
      <w:r>
        <w:t>En l’espèce, étant donné que le litige porte sur une ordonnance d'expulsion rendue dans le cadre d’une procédure de protection pour les cas clairs, soumise à la procédure sommaire (art. 257 CPC), l’ordonnance du 8 avril 2016 pouvait faire l’objet d’un appel dans un délai de dix jours à compter du lendemain de sa notification (art. 248 let. b et 314 al. 1 CPC), comme l’a relevé à juste titre le premier juge au pied de son ordonnance. Compte tenu de la notification intervenue le 12 avril 2016, le délai d’appel de dix jours est arrivé à échéance le vendredi 22 avril 2016. Dès lors que la date et l’heure exacte du dépôt du pli recommandé établissent sans doute possible que l’appel a été posté le 25 avril 2016 à 17 h 37, sa tardiveté est manifeste, de sorte que l’appel peut être déclaré irrecevable sans que l’appelante doive être interpellée (TF 5A_29/2015 du 22 mai 2015 consid. 3.1.1, RSPC 2015 p. 398 ; TF 1C_85/2007 du 6 septembre 2007 consid. 3.2).</w:t>
      </w:r>
    </w:p>
    <w:p>
      <w:r>
        <w:rPr>
          <w:b/>
        </w:rPr>
        <w:t>E. 6</w:t>
      </w:r>
    </w:p>
    <w:p>
      <w:r>
        <w:t>Compte tenu de ce qui précède, l’appel, manifestement tardif, doit être déclaré irrecevable selon le mode procédural de l’art. 312 al. 1 CPC. Le présent arrêt peut être rendu sans frais judiciaires (art. 11 TFJC [tarif du 28 septembre 2010 des frais judiciaires civils ; RSV 270.11.5]). Il n’y a pas lieu d’attribuer des dépens, l’intimée n’ayant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