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389 vom 4. April 2016</w:t>
      </w:r>
    </w:p>
    <w:p>
      <w:r>
        <w:t>VD Tribunal cantonal, 2016-04-04, FR</w:t>
      </w:r>
    </w:p>
    <w:p>
      <w:r>
        <w:rPr>
          <w:b/>
        </w:rPr>
        <w:t xml:space="preserve">Quelle: </w:t>
      </w:r>
      <w:r>
        <w:t>https://mcp.opencaselaw.ch/entscheid/vd_findinfo_HC___2016___389</w:t>
      </w:r>
    </w:p>
    <w:p>
      <w:r>
        <w:t>FR: VD_FINDINFO HC / 2016 / 389 du 4 avril 2016</w:t>
      </w:r>
    </w:p>
    <w:p>
      <w:r>
        <w:t>IT: VD_FINDINFO HC / 2016 / 389 del 4 aprile 2016</w:t>
      </w:r>
    </w:p>
    <w:p>
      <w:pPr>
        <w:pStyle w:val="Heading2"/>
      </w:pPr>
      <w:r>
        <w:t>Regeste</w:t>
      </w:r>
    </w:p>
    <w:p>
      <w:r>
        <w:t>DÉCISION D'IRRECEVABILITÉ, VICE DE FORME, OBSERVATION DU DÉLAI, MOTIVATION DE LA DEMANDE | 132 al. 1 CPC (CH), 321 al. 1 CPC (CH)</w:t>
      </w:r>
    </w:p>
    <w:p>
      <w:pPr>
        <w:pStyle w:val="Heading2"/>
      </w:pPr>
      <w:r>
        <w:t>Erwägungen</w:t>
      </w:r>
    </w:p>
    <w:p>
      <w:r>
        <w:rPr>
          <w:b/>
        </w:rPr>
        <w:t>E. 4</w:t>
      </w:r>
    </w:p>
    <w:p>
      <w:r>
        <w:t>Le recours doit être motivé (art. 321 al. 1 CPC). Les exigences de motivation du recours correspondent au moins à celles applicables à l’appel (TF 5A_247/2013 du 15 octobre 2013 consid. 3.4). Le recourant doit notamment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qui sont attaqués et des pièces sur lesquelles repose la critique (ATF 138 III 374 consid. 4.3.1 ; Jeandin, CPC commenté, 2011, n. 3 ad art. 311 CPC et n. 4 ad art. 321 CPC). A défaut de motivation suffisante, le recours est irrecevable (TF 4A_101/2014 du 26 juin 2014 consid. 3.3). En l’espèce, la recourante conteste le prononcé du Juge de paix du 16 mars 2016 refusant d’entrer en matière sur sa requête du 11 février 2016 en application de l’art. 132 al. 1 CPC, au motif que cet acte n’a pas été rectifié dans le délai imparti. Elle ne soulève cependant aucun grief à ce sujet, n’indique pas pour quelle raison la requête du 11 février 2016 aurait dû être jugée conforme ni n’expose avoir déposé un nouvel acte supposé recevable. Sa motivation est au contraire confuse et ne permet pas de discerner en quoi la décision du premier juge serait erronée et quels reproches sont formulés à son encontre. Le vice découlant du défaut de motivation étant irréparable, le recours est irrecevable. Même à supposer recevable, le recours devrait être rejeté. La recourante ne prétend en effet pas que sa requête du 11 février 2016 aurait été conforme aux exigences procédurales, ni qu’elle aurait déposé un nouvel acte réparant les vices de formes évoqués par le premier juge dans son courrier du 15 février 2016, par lequel il lui impartissait un délai pour compléter sa requête, conformément aux art. 132 al. 1 et 2 CPC.</w:t>
      </w:r>
    </w:p>
    <w:p>
      <w:r>
        <w:rPr>
          <w:b/>
        </w:rPr>
        <w:t>E. 5</w:t>
      </w:r>
    </w:p>
    <w:p>
      <w:r>
        <w:t>Partant, le recours doit être déclaré irrecevable selon le mode procédural de l’art. 322 al. 1 CPC. Il peut être statué sans frais de deuxième instance (art. 11 TFJC [tarif des frais judiciaires civils du 28 septembre 2010 ; RSV 270.11.5]). Par ces motifs, la Chambre des recours civile du Tribunal cantonal, en application de l'art. 322 al. 1 CPC, prononce : I. Le recours est irrecevable. II. Le prononcé est confirmé. III. L’arrêt, rendu sans frais, est exécutoire. Le président :               Le greffier : Du L'arrêt qui précède, dont la rédaction a été approuvée à huis clos, est notifié à : ‑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