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387 vom 20. April 2016</w:t>
      </w:r>
    </w:p>
    <w:p>
      <w:r>
        <w:t>VD Tribunal cantonal, 2016-04-20, FR</w:t>
      </w:r>
    </w:p>
    <w:p>
      <w:r>
        <w:rPr>
          <w:b/>
        </w:rPr>
        <w:t xml:space="preserve">Quelle: </w:t>
      </w:r>
      <w:r>
        <w:t>https://mcp.opencaselaw.ch/entscheid/vd_findinfo_HC___2016___387</w:t>
      </w:r>
    </w:p>
    <w:p>
      <w:r>
        <w:t>FR: VD_FINDINFO HC / 2016 / 387 du 20 avril 2016</w:t>
      </w:r>
    </w:p>
    <w:p>
      <w:r>
        <w:t>IT: VD_FINDINFO HC / 2016 / 387 del 20 aprile 2016</w:t>
      </w:r>
    </w:p>
    <w:p>
      <w:pPr>
        <w:pStyle w:val="Heading2"/>
      </w:pPr>
      <w:r>
        <w:t>Regeste</w:t>
      </w:r>
    </w:p>
    <w:p>
      <w:r>
        <w:t>RÉTROACTIVITÉ, OBLIGATION D'ENTRETIEN, CONJOINT, ENFANT | 176 al. 1 CC, 176 al. 1 ch. 1 CC, 176 CC</w:t>
      </w:r>
    </w:p>
    <w:p>
      <w:pPr>
        <w:pStyle w:val="Heading2"/>
      </w:pPr>
      <w:r>
        <w:t>Erwägungen</w:t>
      </w:r>
    </w:p>
    <w:p>
      <w:r>
        <w:rPr>
          <w:b/>
        </w:rPr>
        <w:t>E. 1.1</w:t>
      </w:r>
    </w:p>
    <w:p>
      <w:r>
        <w:t>L’appel est recevable contre les prononcés de mesures protectrices de l’union conjugale, lesquels doivent être considérés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Formé en temps utile par une partie qui y a intérêt et portant sur une cause dont la valeur litigieuse est supérieure à 10'000 fr., l’appel est recevable.</w:t>
      </w:r>
    </w:p>
    <w:p>
      <w:r>
        <w:rPr>
          <w:b/>
        </w:rPr>
        <w:t>E. 1.3</w:t>
      </w:r>
    </w:p>
    <w:p>
      <w:r>
        <w:t>Dans la mesure où l’intimé n’a pas lui-même interjeté appel contre la décision de première instance, sa conclusion tendant à la réforme du prononcé du 14 décembre 2015 est irrecevable, du fait de l’interdiction de l’appel joint en procédure sommaire (art. 314 al. 2 CPC).</w:t>
      </w:r>
    </w:p>
    <w:p>
      <w:r>
        <w:rPr>
          <w:b/>
        </w:rPr>
        <w:t>E. 2.1</w:t>
      </w:r>
    </w:p>
    <w:p>
      <w:r>
        <w:t>Dès lors que les parties ont passé une convention partielle à l’audience d’appel du 20 avril 2016, la seule question restant litigieuse est celle de l’octroi de l’effet rétroactif à la pension dès la date de la séparation des parties, soit le 10 septembre 2014. L’appelante estime que si la contribution, en nature ou en espèces, payée antérieurement au dépôt de la requête est inférieure à la contribution d’entretien fixée, celle-ci doit être versée rétroactivement. Partant, elle estime que la pension devrait être due dès le 1 er septembre 2014, sous déduction des montants d’ores et déjà acquittés par son époux à ce titre. Quant à l’intimé, il estime avoir contribué entièrement à l’entretien de l’appelante et de sa fille avant le 1 er juin 2015, de sorte que la contribution d’entretien ne devrait être payée que depuis cette date.</w:t>
      </w:r>
    </w:p>
    <w:p>
      <w:r>
        <w:rPr>
          <w:b/>
        </w:rPr>
        <w:t>E. 2.2</w:t>
      </w:r>
    </w:p>
    <w:p>
      <w:r>
        <w:t>Aux termes de l’art. 276 CC (Code civil suisse du 10 décembre 1907 ; RS 210),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soit une contribution d'entretien (al. 2).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5A_372/2015 du 29 septembre 2015 consid. 3.1 ; TF 5A_591/2011 du</w:t>
      </w:r>
    </w:p>
    <w:p>
      <w:r>
        <w:rPr>
          <w:b/>
        </w:rPr>
        <w:t>E. 2.3</w:t>
      </w:r>
    </w:p>
    <w:p>
      <w:r>
        <w:t>En l’espèce, s’il apparaît que les parties ont toujours été divisées s’agissant de la prise en charge des sommes relatives aux vacances de l’appelante et de sa fille, il n’en va pas de même de l’entretien courant. En effet, l’appelante a semblé se contenter des 1'000 fr. que lui versait mensuellement son époux, en sus de la prise en charge de différentes factures, à tout le moins jusqu’en mars 2015, date à laquelle elle a clairement indiqué, dans un courrier de son conseil, que cette somme ne suffisait désormais plus à couvrir son entretien et celui de sa fille. Partant, on ne peut que constater que jusqu’en mars 2015, l’intimé a suffisamment contribué à l’entretien de sa famille en nature ou en espèces. Il se justifie donc d’accorder un effet rétroactif à la pension à la date du 1 er mars 2015. 3. 3.1 En définitive, il y a lieu de rappeler la convention passée par les parties à l’audience d’appel du 20 avril 2016. L’appel est partiellement admis pour le surplus et le prononcé entrepris réformé en ce sens que Z.________ contribuera à l’entretien des siens par le versement d’une pension mensuelle de 5'000 fr. dès le 1 er mars 2015 jusqu’au 31 août 2015, puis de 5'800 fr. dès le 1 er septembre 2015, allocations familiales en sus, payable d’avance le 1 er de chaque mois sur le compte bancaire [...] de C.________. L’appel joint sera déclaré irrecevable. 3.2 Les parties ont passé une convention sur la principale question litigieuse, à savoir le montant de la contribution d’entretien. Pour le surplus, l’appelante obtient partiellement gain de cause à concurrence de la moitié de la période litigieuse (six mois sur douze). Au vu de ce qui précède, les frais judiciaires de deuxième instance, arrêtés à 1'200 fr. (art. 65 al. 4 TFJC [tarif des frais judiciaires civils du 28 septembre 2010, RSV 270.11.5]), doivent être mis par 600 fr. à la charge de l’appelante et par 600 fr. à la charge de l’intimé. Celui-ci versera donc à l’appelante la somme de 600 fr. à titre de remboursement d’avance de frais. 3.3 Il n’y a pas lieu à l’allocation de dépens, les parties y ayant renoncé au chiffre III de la convention du 20 avril 2016. Par ces motifs, le Juge délégué de la Cour d’appel civile prononce : I. La convention passée par les parties à l’audience d’appel du 20 avril 2016, ratifiée séance tenante par le juge délégué pour valoir arrêt partiel sur appel de mesures protectrices de l’union conjugale, a la teneur suivante : « I. Z.________ contribuera à l’entretien des siens par le versement d’une pension mensuelle de 5'000 fr. (cinq mille francs) à tout le moins depuis le 1 er juin 2015 jusqu’au 31 août 2015, puis de 5'800 fr. (cinq mille huit cents francs) dès et y compris le 1 er septembre 2015, allocations familiales en sus, payable d’avance le 1 er de chaque mois sur le compte bancaire [...] de C.________. La question du point de départ de la pension fixée ci-dessus sera tranchée par l’autorité d’appel. II. Les chiffres II à V du prononcé de mesures protectrices de l’union conjugale du 14 décembre 2015 sont maintenus. III. Chaque partie renonce à des dépens. La question de la répartition des frais de justice sera tranchée par l’autorité d’appel. » II. L’appel est partiellement admis pour le surplus. III. La contribution d’entretien stipulée sous chiffre I/I ci-dessus est due par Z.________ dès le 1 er mars 2015 s’agissant de la première période considérée, de sorte que celui-ci est en définitive débiteur de C.________ des montants mensuels suivants, allocations familiales en sus, à titre de contribution d’entretien : - 5'000 fr. (cinq mille franc) depuis le 1 er mars 2015 jusqu’au 31 août 2015; - 5'800 fr. (cinq mille huit cents francs) dès et y compris le 1 er septembre 2015. IV. L’appel joint est irrecevable. V. Les frais judiciaires de deuxième instance, arrêtés à 1'200 fr. (mille deux cents francs), sont mis par 600 fr. (six cents francs) à la charge de l’appelante C.________ et par 600 fr. (six cents francs) à la charge de l’intimé Z.________. VI. L’intimé Z.________ doit verser à l’appelante C.________ la somme de 600 fr. (six cents francs) à titre de remboursement d’avance de frais. VII. L’arrêt est exécutoire. Le juge délégué : La greffière : Du Le présent arrêt, dont la rédaction a été approuvée à huis clos, est notifié en expédition complète à : ‑ Me Vincent Demierre (pour C.________), ‑ Me Elisabeth Santschi (pour Z.________),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décembre 2011 consid. 5.2 ; TF 5A_909/2010 du 4 avril 2011 consid. 6.2). Le fait que l'épouse ait laissé s'écouler plusieurs mois avant de réclamer à son mari une poursuite de son aide ne démontre pas que l'épouse n'éprouvait aucun besoin d'aide financière, ce d'autant moins que les parties étaient en pourparlers transactionnels (Juge délégué CACI 6 février 2012/63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