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386 vom 21. April 2016</w:t>
      </w:r>
    </w:p>
    <w:p>
      <w:r>
        <w:t>VD Tribunal cantonal, 2016-04-21, FR</w:t>
      </w:r>
    </w:p>
    <w:p>
      <w:r>
        <w:rPr>
          <w:b/>
        </w:rPr>
        <w:t xml:space="preserve">Quelle: </w:t>
      </w:r>
      <w:r>
        <w:t>https://mcp.opencaselaw.ch/entscheid/vd_findinfo_HC___2016___386</w:t>
      </w:r>
    </w:p>
    <w:p>
      <w:r>
        <w:t>FR: VD_FINDINFO HC / 2016 / 386 du 21 avril 2016</w:t>
      </w:r>
    </w:p>
    <w:p>
      <w:r>
        <w:t>IT: VD_FINDINFO HC / 2016 / 386 del 21 aprile 2016</w:t>
      </w:r>
    </w:p>
    <w:p>
      <w:pPr>
        <w:pStyle w:val="Heading2"/>
      </w:pPr>
      <w:r>
        <w:t>Regeste</w:t>
      </w:r>
    </w:p>
    <w:p>
      <w:r>
        <w:t>MESURE DE CONTRAINTE{DROIT DES ÉTRANGERS}, DÉTENTION AUX FINS D'EXPULSION | 75 al. 1 let. g LEtr, 75 al. 1 let. h LEtr, 76 al. 1 let. b LEtr, 80 al. 4 LEtr, 80 al. 6 LEtr</w:t>
      </w:r>
    </w:p>
    <w:p>
      <w:pPr>
        <w:pStyle w:val="Heading2"/>
      </w:pPr>
      <w:r>
        <w:t>Erwägungen</w:t>
      </w:r>
    </w:p>
    <w:p>
      <w:r>
        <w:rPr>
          <w:b/>
        </w:rPr>
        <w:t>E. 1</w:t>
      </w:r>
    </w:p>
    <w:p>
      <w:r>
        <w:t>Le recours au Tribunal cantonal est ouvert contre la décision du juge de paix ordonnant la détention administrative ou l'une des autres mesures en relation avec cette détention telles que mentionnées à l'art. 20 LVLEtr (loi du 18 décembre 2007 d'application dans le canton de Vaud de la législation fédérale sur les étrangers ; RSV 142.11) (art. 80 al. 1 LEtr ; art. 30 aI. 1 LVLEtr). Il est de la compétence de la Chambre des recours civile (art 71 et 73 aI. 1 LOJV [loi d'organisation judiciaire du 12 décembre 1979 ; RSV 173.01] et art. 18 al. 3 let. c ROTC [règlement organique du Tribunal cantonal du 13 novembre 2007 ; RSV 173.31.1]). Déposé en temps utile, le recours est recevable à la forme (art. 30 al. 2 LVLEtr).</w:t>
      </w:r>
    </w:p>
    <w:p>
      <w:r>
        <w:rPr>
          <w:b/>
        </w:rPr>
        <w:t>E. 2</w:t>
      </w:r>
    </w:p>
    <w:p>
      <w:r>
        <w:t>La Chambre des recours civile revoit librement la décision de première instance ; elle établit les faits d'office et peut ordonner à cet effet toutes les mesures d'instruction qu'elle juge utiles (art. 31 al. 1 et 2 LVLEtr). Elle peut en particulier tenir compte de faits postérieurs à la décision attaquée.</w:t>
      </w:r>
    </w:p>
    <w:p>
      <w:r>
        <w:rPr>
          <w:b/>
        </w:rPr>
        <w:t>E. 3</w:t>
      </w:r>
    </w:p>
    <w:p>
      <w:r>
        <w:t>Le Juge de paix du district de Lausanne est l'autorité compétente en vertu des articles 17 et 20 LVLEtr. Saisi d'une requête motivée et documentée du SPOP, ce magistrat a procédé à l'audition du recourant le même jour. Le recourant a été entendu et ses déclarations ont été résumées au procès-verbal dans ce qu'elles avaient d'utile (art. 21 al. 1 et 2 LVLEtr). A l'issue de l'audition, le premier juge a immédiatement rendu un ordre de détention et sa décision motivée a été notifiée le lendemain au recourant, soit dans le délai légal de nonante-six heures (art. 16 al. 1 LVLEtr). La procédure de mise en détention est dès lors conforme et le recourant n'en disconvient d'ailleurs pas.</w:t>
      </w:r>
    </w:p>
    <w:p>
      <w:r>
        <w:rPr>
          <w:b/>
        </w:rPr>
        <w:t>E. 4.1</w:t>
      </w:r>
    </w:p>
    <w:p>
      <w:r>
        <w:t>Le recourant fait valoir que son état de santé rend son renvoi inexécutable au sens de l'art. 80 al. 6 LEtr. Il invoque également le fait que son renvoi dans son pays d'origine le mettrait en danger, l'accès aux soins de base n'y étant pas garanti.</w:t>
      </w:r>
    </w:p>
    <w:p>
      <w:r>
        <w:rPr>
          <w:b/>
        </w:rPr>
        <w:t>E. 4.2</w:t>
      </w:r>
    </w:p>
    <w:p>
      <w:r>
        <w:t>L'art. 80 LEtr dispose notamment que, lorsqu'elle examine la décision de détention, de maintien ou de levée de celle-ci, l'autorité judiciaire tient compte de la situation familiale de la personne détenue et des conditions d'exécution de la détention (al. 4). La détention est levée – respectivement la prolongation refusée – notamment lorsque l'exécution du renvoi ou de l'expulsion s'avère impossible pour des raisons juridiques ou matérielles (al. 6 let. a). La jurisprudence a rappelé que ces raisons doivent être importantes (« triftige Gründe ») et que l'exécution du renvoi doit être qualifiée d'impossible lorsque le rapatriement est pratiquement exclu, même si l'identité et la nationalité de l'étranger sont connues et que les papiers voulus peuvent être obtenus (TF 2C_386/2010 du 1 er juin 2010 consid. 4 ; TF 2C_47312010 du 25 juin 2010 consid. 4.1 et les réf. citées). Tel est par exemple le cas si le déplacement de la personne concernée n'est pas concevable pour des raisons de santé ou qu'un Etat refuse de reprendre certains de ses ressortissants (ATF 125 II 217 consid. 2). Selon la jurisprudence, le juge de la détention est lié par la décision de renvoi, en particulier lorsqu'elle a été rendue dans le cadre d'une procédure d'asile. Au demeurant, il ne peut revoir la légalité d'une décision de renvoi que lorsque celle-ci est manifestement contraire au droit ou clairement insoutenable au point d'apparaître nulle. S'il existe des faits nouveaux, postérieurs à la décision de renvoi, le juge de la détention peut en tenir compte. Cependant, il appartient en priorité à l'autorité compétente en matière d'asile de décider si le renvoi est exigible, le juge de la détention ne pouvant intervenir que si le caractère inexécutable de la décision de renvoi est patent (ATF 130 II 56 consid. 2 ; 128 II 193 consid. 2.2.2 ; TF 2C_256/2013 du 10 avril 2013 consid. 4.5 ; TF 2C_35/2009 du 13 février 2009 consid. 6.2 ; TF 2C_445/2007 du 30 octobre 2007 consid. 4.2 ; TF 2A_47/2007 du 18 avril 2007 consid. 2.3). La procédure liée à la détention administrative ne permet pas, sauf cas exceptionnels, de remettre en cause le caractère licite de la décision de renvoi. Ce n'est que si une décision de renvoi apparaît manifestement inadmissible, soit arbitraire ou nulle, qu'il est justifié de lever la détention en application de l'art. 80 al. 6 let. a LEtr, étant donné que l'exécution d'un tel ordre illicite ne doit pas être assurée par les mesures de contrainte (TF 2C_206/2014 du 4 mars 2014 consid. 3 et les réf. citées).</w:t>
      </w:r>
    </w:p>
    <w:p>
      <w:r>
        <w:rPr>
          <w:b/>
        </w:rPr>
        <w:t>E. 4.3</w:t>
      </w:r>
    </w:p>
    <w:p>
      <w:r>
        <w:t>Les problèmes médicaux que fait valoir le recourant ne reposent que sur ses affirmations et ne sont absolument pas documentés. Il lui était pourtant loisible d'obtenir un certificat ou un constat médical. En outre, depuis qu'il est détenu à l'établissement de Favra, qui dispose d'un service médical, aucun empêchement à l'exécution d'une détention pour des motifs de santé n'a été relevé. L'intéressé avait d'ailleurs été détenu sur le plan pénal auparavant. Le recourant ne rend pas vraisemblable non plus qu'il devrait disposer à son arrivée en Guinée de soins qui ne pourraient pas lui être prodigués. Enfin, la décision de renvoi n'apparaît pas manifestement infondée.</w:t>
      </w:r>
    </w:p>
    <w:p>
      <w:r>
        <w:rPr>
          <w:b/>
        </w:rPr>
        <w:t>E. 5.1</w:t>
      </w:r>
    </w:p>
    <w:p>
      <w:r>
        <w:t>Le recourant invoque également une violation de l'art. 76 al. 1 LEtr. Il soutient qu'il ne présente aucun risque de se soustraire à la procédure de renvoi, que sa détention est dès lors illicite et viole les garanties prévues à l'art. 5 par. 1 CEDH.</w:t>
      </w:r>
    </w:p>
    <w:p>
      <w:r>
        <w:rPr>
          <w:b/>
        </w:rPr>
        <w:t>E. 5.2</w:t>
      </w:r>
    </w:p>
    <w:p>
      <w:r>
        <w:t>Aux termes de l’art. 75 al. 1 LEtr, afin d’assurer l’exécution d’une procédure de renvoi, l’autorité cantonale compétente peut ordonner la détention pendant la préparation de la décision sur le séjour, pour une durée de six mois au plus, d’un étranger qui n’est pas titulaire d’une autorisation de courte durée, de séjour ou d’établissement, pour l’une des raisons suivantes : elle menace sérieusement d’autres personnes ou met gravement en danger leur vie ou leur intégrité corporelle et fait l’objet d’une poursuite pénale ou a été condamnée pour ce motif (let. g) ; elle a été condamnée pour crime (let. h). En relation avec cette disposition, la jurisprudence considère qu’un étranger menace sérieusement d'autres personnes ou met gravement en danger leur vie ou leur intégrité corporelle s'il commet des infractions pénales – qui revêtent une certaine intensité – contre la vie et l'intégrité corporelle, contre la liberté ou contre l'intégrité sexuelle dès qu'il y a contrainte, les infractions à la loi fédérale sur les stupéfiants étant elles aussi visées (TF 2C_293/2012 18 avril 2012 consid. 4.3). A teneur de l’art. 76 aI.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(ch. 3) ou si son comportement permet de conclure qu’elle se refuse à obtempérer aux instructions des autorités (ch. 4). Les deux chiffres de cette disposition décrivent des comportements permettant de conclure à l’existence d’un risque de fuite ou de disparition (Untertauchensgefahr) et peuvent donc être envisagés ensemble (Zünd, Kommentar Migrationsrecht, 3 e éd., Zurich 2012, n. 6 ad art. 76 LEtr). Selon la jurisprudence, ces motifs sont réalisés lorsque l'étranger a déjà disparu une première fois dans la clandestinité (ATF 140 II 1 consid. 5.3), lorsqu'il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130 Il 56 consid. 3.1 ; TF 2C_1139/2012 du 21 décembre 2012 consid. 3.2 ; TF 2C_984/2010 du 20 janvier 2011 consid. 2 ; TF 2C_206/2009 du 29 avril 2009 consid. 4.1). Il faut qu'il existe des éléments concrets en ce sens (TF 2C_256/2013 du 10 avril 2013 consid. 4.2 ; TF 2C_142/2013 du 1 er mars 2013 consid. 4.2).</w:t>
      </w:r>
    </w:p>
    <w:p>
      <w:r>
        <w:rPr>
          <w:b/>
        </w:rPr>
        <w:t>E. 5.3</w:t>
      </w:r>
    </w:p>
    <w:p>
      <w:r>
        <w:t>La mise en détention de l'intéressé est doublement justifiée : d’une part, le recourant a été condamné pour infraction LStup et pour lésions corporelles simples, injure et menaces, soit pour des délits correspondant à ceux décrits à l’art. 75 al. 1 let. g et h LEtr ; d’autre part, il a refusé à maintes reprises de collaborer à la procédure de renvoi, notamment en séjournant illégalement en Suisse depuis 2008, en refusant de signer une déclaration de retour volontaire dans son pays d’origine, en dissimulant tant sa véritable identité que sa nationalité et en ne déposant aucun document d’identité ou de voyage. La détention n'est donc pas illicite.</w:t>
      </w:r>
    </w:p>
    <w:p>
      <w:r>
        <w:rPr>
          <w:b/>
        </w:rPr>
        <w:t>E. 6.1</w:t>
      </w:r>
    </w:p>
    <w:p>
      <w:r>
        <w:t>En définitive, le recours doit être rejeté et l'ordonnance confirmée.</w:t>
      </w:r>
    </w:p>
    <w:p>
      <w:r>
        <w:rPr>
          <w:b/>
        </w:rPr>
        <w:t>E. 6.2</w:t>
      </w:r>
    </w:p>
    <w:p>
      <w:r>
        <w:t>L'arrêt peut être rendu sans frais.</w:t>
      </w:r>
    </w:p>
    <w:p>
      <w:r>
        <w:rPr>
          <w:b/>
        </w:rPr>
        <w:t>E. 6.3</w:t>
      </w:r>
    </w:p>
    <w:p>
      <w:r>
        <w:t>Selon l'art. 25 al. 1 LVLEtr, lorsque la personne détenue est indigente, le conseil d'office reçoit une indemnité à la charge de la caisse de l'Etat, les dispositions relatives à la rémunération des défenseurs d'office en matière pénale étant applicables. En sa qualité de conseil d’office du recourant, Me Nicolas Blanc a produit une liste d’opérations faisant état de 8 h 25 d’activité, dont 5 h 30 effectuées par le stagiaire. Compte tenu de la relative simplicité de l’affaire, le temps consacré par l’avocat stagiaire à la rédaction du recours, qui apparaît excessif, doit être réduit à 3 heures, recherches comprises, et 3 heures d’activité de l’avocat doivent être retenues. Au tarif horaire de 180 fr. pour l’activité de l’avocat et de 110 fr. pour celle du stagiaire (art. 2 al. 1 let. a et b RAJ [règlement du 7 décembre 2010 sur l'assistance judiciaire en matière civile ; RSV 211.02.3] par analogie), l’indemnité d'office doit ainsi être fixée à 939 fr. 60, montant comprenant la TVA. Par ces motifs, la Chambre des recours civile du Tribunal cantonal, prononce : I. Le recours est rejeté. II. L’ordonnance est confirmée. III. L’arrêt est rendu sans frais. IV. L’indemnité d’office de Me Nicolas Blanc, conseil d’office du recourant, est arrêtée à 939 fr. 60 (neuf cent trente-neuf francs et soixante centimes), TVA comprise. Le président :               Le greffier : Du 22 avril 2016 Le dispositif de l'arrêt qui précède est communiqué par écrit aux intéressés. Le greffier : Du L'arrêt qui précède, dont la rédaction a été approuvée à huis clos, est notifié en expédition complète, par l'envoi de photocopies, à : ‑ Me Nicolas Blanc (pour Y.________), ‑ Service de la population, à Lausanne.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