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381 vom 19. April 2016</w:t>
      </w:r>
    </w:p>
    <w:p>
      <w:r>
        <w:t>VD Tribunal cantonal, 2016-04-19, FR</w:t>
      </w:r>
    </w:p>
    <w:p>
      <w:r>
        <w:rPr>
          <w:b/>
        </w:rPr>
        <w:t xml:space="preserve">Quelle: </w:t>
      </w:r>
      <w:r>
        <w:t>https://mcp.opencaselaw.ch/entscheid/vd_findinfo_HC___2016___381</w:t>
      </w:r>
    </w:p>
    <w:p>
      <w:r>
        <w:t>FR: VD_FINDINFO HC / 2016 / 381 du 19 avril 2016</w:t>
      </w:r>
    </w:p>
    <w:p>
      <w:r>
        <w:t>IT: VD_FINDINFO HC / 2016 / 381 del 19 aprile 2016</w:t>
      </w:r>
    </w:p>
    <w:p>
      <w:pPr>
        <w:pStyle w:val="Heading2"/>
      </w:pPr>
      <w:r>
        <w:t>Regeste</w:t>
      </w:r>
    </w:p>
    <w:p>
      <w:r>
        <w:t>MODIFICATION DES CIRCONSTANCES, VENTE D'IMMEUBLE, MESURE PROVISIONNELLE, DIVORCE | 179 al. 1 CC</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sont supérieures à 10'000 fr., l'appel est recevable.</w:t>
      </w:r>
    </w:p>
    <w:p>
      <w:r>
        <w:rPr>
          <w:b/>
        </w:rPr>
        <w:t>E. 2</w:t>
      </w:r>
    </w:p>
    <w:p>
      <w:r>
        <w:t>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w:t>
      </w:r>
    </w:p>
    <w:p>
      <w:r>
        <w:rPr>
          <w:b/>
        </w:rPr>
        <w:t>E. 3.1</w:t>
      </w:r>
    </w:p>
    <w:p>
      <w:r>
        <w:t>L'appelant soutient que le premier juge aurait dû retenir que l'offre de prêt de 100'000 fr. formulée par l'intimée au cours de l'audience du 12 février 2016 était insuffisante pour couvrir les dettes relatives aux biens immobiliers s'élevant à 258'267 fr. 05, que la parcelle de Villars-sous-Yens pouvait être vendue à 1'000'000 fr. et même à un prix supérieur et que la mesure de restriction du droit d'aliéner instaurée en 2013 était totalement disproportionnée eu égard aux prétentions désormais chiffrées de l'intimée dans le cadre de la procédure de divorce. L'appelant soutient également que ses revenus ont diminué de moitié dès lors qu'il ne perçoit plus que le montant de 4'452 fr. depuis octobre 2015 à titre de rentes AVS/LPP, sous déduction des rentes versées directement à son fils mineur en Espagne, qu'il ne dispose d'aucune liquidité pour payer ses dettes qui s'élèvent à 258'267 fr. 05 et que la seule manière de les régler consiste à vendre la parcelle de Villars-sous-Yens.</w:t>
      </w:r>
    </w:p>
    <w:p>
      <w:r>
        <w:rPr>
          <w:b/>
        </w:rPr>
        <w:t>E. 3.2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consid.3.2 et réf. ; ATF 141 III 376 consid. 3.3.1).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 400/2012 du 25 février 2013 consid. 4.1 et réf. ; sur le tout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w:t>
      </w:r>
    </w:p>
    <w:p>
      <w:r>
        <w:rPr>
          <w:b/>
        </w:rPr>
        <w:t>E. 3.3</w:t>
      </w:r>
    </w:p>
    <w:p>
      <w:r>
        <w:t>En l'espèce, il convient de déterminer si des circonstances de fait ont changé d'une manière essentielle et durable entre le prononcé de mesures protectrices de l'union conjugale du 17 janvier 2014 et la requête de mesures provisionnelles de l'appelant du 14 décembre 2015. Comme déjà relevé par le premier juge, la naissance de l'enfant de l'appelant en 2013 et la crise économique espagnole étaient des circonstances de fait déjà connues lorsque l'appelant a signé la convention du 17 janvier 2014 et ce dernier n'a aucunement documenté le projet de vente de la parcelle de Villars-sous-Yens. Il n'y a par conséquent pas lieu d'y revenir. Les impôts et les frais d'entretien des immeubles dont l'appelant se prévaut ne constituent pas non plus des faits nouveaux qui n'existaient pas lorsque s'est déroulée l'audience du 17 janvier 2014, puisqu'il s'agit de charges inhérentes à tout patrimoine immobilier et que les biens immobiliers des époux ont tous été acquis avant le prononcé de mesures protectrices de l'union conjugale du 17 janvier 2014. Cela vaut encore plus pour les frais futurs invoqués (entretien des immeubles, frais de justice, d'expertise et d'avocat). En réalité, en présentant ses propres calculs selon lesquels les prétentions en divorce de l'intimée (1'884'000 fr.) seraient largement couvertes par la valeur des actifs du couple (2'244'505 fr.), l'appelant se livre, avant l'expert, à une liquidation anticipée du régime matrimonial qui repose sur sa propre et unique appréciation. C'est donc à tort que l'appelant axe sa démonstration sur les prétentions chiffrées de son épouse afin d'affirmer de manière péremptoire que l'interdiction d'aliéner grevant la parcelle de Villars-sous-Yens serait totalement disproportionnée. Enfin, l'appelant fait valoir que son revenu aurait diminué de moitié, s'élevant depuis octobre 2015 à 4'452 fr. à titre de rente AVS/LPP. Or, outre le fait que l'appelant ne donne aucune autre explication à cet égard, il ressort clairement de son certificat de salaire (pièce 327 du bordereau IX de l'appelant du 14 décembre 2015) qu'il a perçu net 47'922 fr. durant l'année 2014, soit 3'993 fr. 50 par mois. On n'y voit donc aucune baisse de revenus depuis la signature de la convention du 17 janvier 2014, bien au contraire. Il résulte de ce qui précède que les conditions de l'art. 179 al. 1 CC justifiant un réexamen de la restriction du droit d'aliéner l'immeuble de Villars-sous-Yens ne sont pas remplies, à savoir qu'aucun changement significatif et non temporaire n'est survenu postérieurement à la date à laquelle la convention du 17 janvier 2014 a été signée.</w:t>
      </w:r>
    </w:p>
    <w:p>
      <w:r>
        <w:rPr>
          <w:b/>
        </w:rPr>
        <w:t>E. 4</w:t>
      </w:r>
    </w:p>
    <w:p>
      <w:r>
        <w:t>Il s'ensuit que l'appel de A.K.________ doit être rejeté selon le mode procédural de l'art. 312 al. 1 CPC et l'ordonnance entreprise confirmée. La condition de l'indigence n'étant pas réalisée et la cause apparaissant d'emblée dépourvue de toute chance de succès, la requête d'assistance judiciaire de l'appelant doit être rejetée (art. 117 CPC). Les frais judiciaires de deuxième instance, arrêtés à 600 fr. (art. 63 al. 1 et 65 al. 2 TFJC [tarif des frais judiciaires en matière civile du 28 septembre 2010 ; RSV 270.11.5]), sont mis à la charge de l'appelant, qui succombe (art. 106 al. 1 CPC). Il n'est pas alloué de dépens de deuxième instance, dès lors que l'intimée n'a pas été invitée à se déterminer. Par ces motifs, le Juge délégué de la Cour d’appel civile prononce : I. L’appel est rejeté. II. L'ordonnance est confirmée. III. La requête d'assistance judiciaire est rejetée. IV. Les frais judiciaires, arrêtés à 600 fr. (six cents francs), sont mis à la charge de l'appelant A.K.________ qui succombe. V. L'arrêt motivé est exécutoire. Le juge délégué : La greffière : Du 19 avril 2016 Le dispositif du présent arrêt est communiqué par écrit aux intéressés. La greffière : Du Le présent arrêt, dont la rédaction a été approuvée à huis clos, est notifié en expédition complète à : ‑ Me David Regamey (pour A.K.________) ‑ Me Malek Buffat Reymond (pour B.K.________)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