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376 vom 6. April 2016</w:t>
      </w:r>
    </w:p>
    <w:p>
      <w:r>
        <w:t>VD Tribunal cantonal, 2016-04-06, FR</w:t>
      </w:r>
    </w:p>
    <w:p>
      <w:r>
        <w:rPr>
          <w:b/>
        </w:rPr>
        <w:t xml:space="preserve">Quelle: </w:t>
      </w:r>
      <w:r>
        <w:t>https://mcp.opencaselaw.ch/entscheid/vd_findinfo_HC___2016___376</w:t>
      </w:r>
    </w:p>
    <w:p>
      <w:r>
        <w:t>FR: VD_FINDINFO HC / 2016 / 376 du 6 avril 2016</w:t>
      </w:r>
    </w:p>
    <w:p>
      <w:r>
        <w:t>IT: VD_FINDINFO HC / 2016 / 376 del 6 aprile 2016</w:t>
      </w:r>
    </w:p>
    <w:p>
      <w:pPr>
        <w:pStyle w:val="Heading2"/>
      </w:pPr>
      <w:r>
        <w:t>Regeste</w:t>
      </w:r>
    </w:p>
    <w:p>
      <w:r>
        <w:t>OBLIGATION D'ENTRETIEN, CALCUL, REVENU HYPOTHÉTIQUE, MINIMUM VITAL, ALLOCATION FAMILIALE, DÉDUCTION{SENS GÉNÉRAL} | 176 al. 1 CC</w:t>
      </w:r>
    </w:p>
    <w:p>
      <w:pPr>
        <w:pStyle w:val="Heading2"/>
      </w:pPr>
      <w:r>
        <w:t>Erwägungen</w:t>
      </w:r>
    </w:p>
    <w:p>
      <w:r>
        <w:rPr>
          <w:b/>
        </w:rPr>
        <w:t>E. 4.1</w:t>
      </w:r>
    </w:p>
    <w:p>
      <w:r>
        <w:t>L’appelant critique ensuite le calcul de ses charges, faisant valoir qu’il assume seul le coût d’entretien de son fils Z.________, majeur et aux études, de sorte que ces charges devraient être prises en compte dans son minimum vital, sous déduction toutefois des allocations familiales. Il déclare s’acquitter à cet effet de la prime d’assurance-maladie, d’une part des frais d’écolage, de frais pour un abonnement général mensuel, ainsi que des frais de repas de midi à l’extérieur.</w:t>
      </w:r>
    </w:p>
    <w:p>
      <w:r>
        <w:rPr>
          <w:b/>
        </w:rPr>
        <w:t>E. 4.2</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les frais de logement, les coûts de santé, les frais de déplacements et de repas,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 cit. ; Bastons Bulletti, L'entretien après divorce : méthodes de calcul, montant, durée et limites, SJ 2007 II 84-88). Le minimum vital du droit de la famille tient compte du fait que les contributions d’entretien sont dues durablement, de sorte que le minimum vital des poursuites qui garantit une existence juste décente est enrichi de certains besoins, si la situation financière permet la couverture du minimum vital du droit des poursuites chez chacun des conjoints ; ainsi, les contributions d’entretien raisonnables effectivement et régulièrement versées aux enfants majeurs et ne mettant pas en péril le minimum vital du conjoint et des enfants mineurs entrent dans les besoins de la partie concernée (de Weck in : Bohnet/Guillod [éd.], Droit matrimonial, fond et procédure, nn. 111-112 ad art. 176 CC et les réf. cit.).</w:t>
      </w:r>
    </w:p>
    <w:p>
      <w:r>
        <w:rPr>
          <w:b/>
        </w:rPr>
        <w:t>E. 4.3</w:t>
      </w:r>
    </w:p>
    <w:p>
      <w:r>
        <w:t>En l’espèce, s’agissant de l’enfant Z.________, devenu majeur le 29 août 2015 et qui vit chez son père depuis le 1 er septembre 2015, le premier juge n’a pas tenu compte de ce coût d’entretien dans le budget de l’appelant que celui-ci assume seul, mais il lui a attribué la moitié du disponible au lieu du tiers dès le 1 er février 2016. Les frais effectifs de l’enfant majeur, totalisant 616 fr. 70 pour la deuxième période et 914 fr. 75 pour la troisième, sont particulièrement raisonnables, ne résultant que de l’addition de coûts fixes, sans intégrer un forfait au titre du minimum vital, de sorte qu’ils peuvent être admis. Il convient d’en déduire, comme le propose l’appelant et conformément à la jurisprudence (cf. consid. 5 infra), les allocations familiales perçues par l’enfant directement, à raison de 400 fr. par mois. Ce faisant, on aboutit à un montant net de charges de 276 fr. 30 pour les mois de septembre 2015 à janvier 2016 et de 514 fr. 75 dès février 2016 (cf. lettre C.5.1 supra). Cela étant, au vu de la jurisprudence fédérale, les frais relatifs à l’enfant majeur ne doivent pas être inclus dans les charges de l’appelant (cf. ATF 132 III 209 consid. 2.3 et la jurisprudence citée ; SJ 2006 I 538 ; TF 5A_958/2014 du 12 mai 2015 consid. 4.5). Dès lors qu’il s’agit de l’enfant du couple et que la situation des parties le permet, il convient en revanche de déduire ces montants de la quotité disponible après imputation sur le disponible de l’appelant du déficit de l’épouse, le minimum vital du conjoint et des enfants mineurs n’étant en l’occurrence pas mis en péril.</w:t>
      </w:r>
    </w:p>
    <w:p>
      <w:r>
        <w:rPr>
          <w:b/>
        </w:rPr>
        <w:t>E. 5.1</w:t>
      </w:r>
    </w:p>
    <w:p>
      <w:r>
        <w:t>L'appelant soutient encore que les allocations familiales doivent être déduites de la base mensuelle de chaque enfant, respectivement des charges de l’intimée.</w:t>
      </w:r>
    </w:p>
    <w:p>
      <w:r>
        <w:rPr>
          <w:b/>
        </w:rPr>
        <w:t>E. 5.2</w:t>
      </w:r>
    </w:p>
    <w:p>
      <w:r>
        <w:t>Selon la jurisprudence,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 TF 5A_511/2010 du 4 février 2011 consid. 3). Ainsi, lors du calcul de la contribution d’entretien en faveur des enfants, il est arbitraire de ne pas déduire du minimum vital de l’enfant le montant équivalent à l’allocation pour enfant ou l’allocation de formation professionnelle (TF 5A_207/2011 du 26 septembre 2011 consid. 4.3).</w:t>
      </w:r>
    </w:p>
    <w:p>
      <w:r>
        <w:rPr>
          <w:b/>
        </w:rPr>
        <w:t>E. 5.3</w:t>
      </w:r>
    </w:p>
    <w:p>
      <w:r>
        <w:t>En l'espèce, le premier juge n'a pas déduit d’allocations familiales, considérant que l’appelant ne les percevait plus depuis son changement de travail. Or il ressort des attestations de la FER CIAM que les allocations sont versées, d’une part, à l’intimée pour X.________ et Q.________ et, d’autre part, à Z.________ directement. Au regard de ce qui précède, il y a lieu d’imputer les allocations familiales sur les minima vitaux des enfants.</w:t>
      </w:r>
    </w:p>
    <w:p>
      <w:r>
        <w:rPr>
          <w:b/>
        </w:rPr>
        <w:t>E. 6</w:t>
      </w:r>
    </w:p>
    <w:p>
      <w:r>
        <w:t>En définitive, il convient de recalculer la contribution d’entretien due par l’appelant en faveur des siens.</w:t>
      </w:r>
    </w:p>
    <w:p>
      <w:r>
        <w:rPr>
          <w:b/>
        </w:rPr>
        <w:t>E. 6.1</w:t>
      </w:r>
    </w:p>
    <w:p>
      <w:r>
        <w:t>Pour les mois de juillet et août 2015, les charges de l’intimée sont désormais de 5'711 fr., de sorte que son déficit est de 5'211 francs. Les charges de l’appelant demeurent inchangées, soit 6'913 francs. Le disponible de l’appelant s’élevant à 6'770 fr., le solde après imputation du déficit de l’épouse s’élève à 1'559 fr. et doit être réparti à raison d’un tiers pour J.________ et de deux tiers pour P.________. La contribution d’entretien est ainsi arrêtée à 6'250 fr. (5'211 + 1039.30).</w:t>
      </w:r>
    </w:p>
    <w:p>
      <w:r>
        <w:rPr>
          <w:b/>
        </w:rPr>
        <w:t>E. 6.2</w:t>
      </w:r>
    </w:p>
    <w:p>
      <w:r>
        <w:t>De septembre 2015 à janvier 2016, les charges de l’intimée sont de 5'460 fr., de sorte que son déficit est de 4'960 francs. Les charges de l’appelant demeurent également inchangées, soit 6'913 francs. Le disponible de l’appelant s’élevant à 6'770 fr., le solde après imputation du déficit de l’épouse, puis déduction de 276 fr. 30 concernant l’enfant Z.________, s’élève à 1'533 fr. 70 et doit être réparti à raison d’un tiers pour J.________ et de deux tiers pour P.________. La contribution d’entretien est ainsi arrêtée à 5'982 fr. (4'960 + 1'022.45).</w:t>
      </w:r>
    </w:p>
    <w:p>
      <w:r>
        <w:rPr>
          <w:b/>
        </w:rPr>
        <w:t>E. 6.3</w:t>
      </w:r>
    </w:p>
    <w:p>
      <w:r>
        <w:t>Dès février 2016, les charges de l’intimée sont de 5'113 fr., de sorte que son déficit est de 4'613 francs. Les charges de l’appelant s’élèvent à 7'113 francs. Le disponible de l’appelant s’élevant à 6'570 fr., le solde après imputation du déficit de l’épouse, puis déduction de 514 fr. 75 concernant l’enfant Z.________, s’élève à 1'442 fr. 25 et doit être réparti par moitié entre J.________ et P.________. La contribution d’entretien est ainsi arrêtée à 5'334 fr. (4'613 + 721.15).</w:t>
      </w:r>
    </w:p>
    <w:p>
      <w:r>
        <w:rPr>
          <w:b/>
        </w:rPr>
        <w:t>E. 7</w:t>
      </w:r>
    </w:p>
    <w:p>
      <w:r>
        <w:t>Il résulte de ce qui précède que l’appel doit être partiellement admis et l’ordonnance du 7 janvier 2016 réformée aux chiffres VI, VII et VIII dans le sens des considérants qui précèdent (cf. notamment consid. 6 supra). Le jugement sera confirmé pour le surplus. S’agissant des frais judiciaires, l’appelant a certes obtenu partiellement gain de cause s’agissant de la prise en compte des charges liées à l’enfant Z.________ et à la déduction des allocations familiales des minima vitaux respectifs, mais il a succombé sur sa conclusion tendant à l’imputation d’un revenu hypothétique ainsi que sur la question de la quotité de la contribution d’entretien. Dans ces circonstances, les frais judiciaires de deuxième instance, arrêtés à 1'200 fr. (art. 65 al. 4 TFJC [tarif des frais judiciaires civils du 28 septembre 2010 ; RSV 270.11.5]), seront mis par moitié, soit 600 fr., à la charge de l’appelant (art. 106 al. 2 CPC) et par moitié, soit 600 fr., laissés à la charge de l’Etat, dès lors que l’intimée est au bénéfice de l’assistance judiciaire (art. 106 al. 2 et 122 al. 1 let. b CPC). En sa qualité de conseil d'office de l’intimée, Me Marc-Aurèle Vollenweider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5 avril 2016 l'avocat indique avoir consacré 9 heures au dossier, hors audience d’appel, et fait état d’une vacation à 120 fr. ainsi que de débours à 35 fr., TVA en sus. Ce décompte ne peut être pris en compte tel quel, eu égard à la simplicité de la cause. On ne saurait en effet intégralement indemniser le temps important qui semble avoir été consacré à la préparation de la réponse (plus de 6 heures pour les opérations « examen appel, recherche droit, rédaction réponse » [1 heure] ; « examen dossier, recherche droit, rédaction réponse et courriel à » [3 heures] ; « examen courriels, examen complet dossier, suite et fin rédaction réponse » [1 heure et 30 minutes] ; « relecture et mise au net réponse » [1 heure]). De plus, le temps forfaitaire inscrit pour les « copie à », « lettre à » ou « courriel à » ne saurait pas davantage être admis, dès lors qu’il ne correspond pas à la durée réelle et que, de toute manière, il n'y a pas lieu d'indemniser la transmission d’une copie de courrier à la partie adverse, ni la transmission en copie d’une lettre ou d’un acte de l’autorité, dans la mesure où il ne s'agit pas d’une activité qui serait le propre de l’avocat, mais de pur travail de secrétariat (cf. Juge délégué CACI 18 août 2014/436 consid. 3 ; CACI 29 juillet 2014/235 consid. 6). Il y a également matière à retranchement des débours, en particulier concernant les frais de photocopies, ces frais étant compris dans les frais généraux et devant dès lors être écartés (cf. CREC 14 novembre 2013/377), de sorte que les débours seront ramenés à un montant de 14 francs. Compte tenu de ce qui précède, le montant alloué doit être arrêté en retenant 8 heures et 15 minutes de travail d'avocat breveté, au tarif horaire de 180 fr., avec une vacation à 120 fr. et des débours à 14 fr., auxquels on ajoute la TVA, par 129 fr. 50, ce qui porte le montant total à 1'748 fr. 50. Dans la mesure de l’art. 123 CPC, la bénéficiaire de l’assistance judiciaire est tenue au remboursement des frais judiciaires et de l’indemnité de son conseil d’office mis à la charge de l’Etat. Pour les mêmes raisons que celles ayant justifié la répartition en équité des frais, il y a lieu de compenser les dépens de deuxième instance (art. 95 al. 3 et 107 al. 1 let. c CPC). Par ces motifs, le juge délégué de la Cour d’appel civile prononce : I. L’appel est partiellement admis. II. L’ordonnance est réformée à ses chiffres VI, VII et VIII comme suit : VI.              dit que J.________ contribuera à l'entretien des siens par le régulier versement d'une pension mensuelle de 6'250 fr. (six mille deux cent cinquante francs), payable dès la présente ordonnance exécutoire en mains d’P.________, pour les mois de juillet et août 2015 ; VII. que J.________ contribuera à l'entretien des siens par le régulier versement d'une pension mensuelle de 5'982 fr., payable dès la présente ordonnance exécutoire en mains d’P.________, pour les mois de septembre 2015 à janvier 2016 ; VIII. dit que J.________ contribuera à l'entretien des siens par le régulier versement d'une pension mensuelle de 5'334 fr., payable d'avance le premier de chaque mois en mains d’P.________, dès et y compris le 1 er février 2016 (VIII). L’ordonnance est confirmée pour le surplus. III. Les frais judiciaires de deuxième instance, arrêtés à 1'200 fr. (mille deux cents francs), sont mis par 600 fr. (six cents francs) à la charge de l’appelant J.________ et par 600 fr. (six cents francs) à la charge de l’intimée et laissés à la charge de l’Etat. IV. L’indemnité d’office de Me Marc-Aurèle Vollenweider, conseil de l’intimée, est arrêtée à 1'748 fr. 50 (mille sept cent quarante-huit francs et cinquante centimes), TVA et débours compris. V. La bénéficiaire de l'assistance judiciaire doit, dans la mesure de l'art. 123 CPC, rembourser les frais judiciaires et l'indemnité de son conseil d'office, mis à la charge de l'Etat. VI. Les dépens sont compensés. VII. L’arrêt est exécutoire. Le juge délégué : La greffière : Du Le présent arrêt, dont la rédaction a été approuvée à huis clos, est notifié en expédition complète à : ‑ Me Reynald P. Bruttin, avocat (pour J.________), ‑ Me Marc-Aurèle Vollenweider, avocat (pour P.________),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