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373 vom 6. April 2016</w:t>
      </w:r>
    </w:p>
    <w:p>
      <w:r>
        <w:t>VD Tribunal cantonal, 2016-04-06, FR</w:t>
      </w:r>
    </w:p>
    <w:p>
      <w:r>
        <w:rPr>
          <w:b/>
        </w:rPr>
        <w:t xml:space="preserve">Quelle: </w:t>
      </w:r>
      <w:r>
        <w:t>https://mcp.opencaselaw.ch/entscheid/vd_findinfo_HC___2016___373</w:t>
      </w:r>
    </w:p>
    <w:p>
      <w:r>
        <w:t>FR: VD_FINDINFO HC / 2016 / 373 du 6 avril 2016</w:t>
      </w:r>
    </w:p>
    <w:p>
      <w:r>
        <w:t>IT: VD_FINDINFO HC / 2016 / 373 del 6 aprile 2016</w:t>
      </w:r>
    </w:p>
    <w:p>
      <w:pPr>
        <w:pStyle w:val="Heading2"/>
      </w:pPr>
      <w:r>
        <w:t>Regeste</w:t>
      </w:r>
    </w:p>
    <w:p>
      <w:r>
        <w:t>PROTECTION DE L'UNION CONJUGALE, DOMICILE | 176 al. 1 ch. 2 CC</w:t>
      </w:r>
    </w:p>
    <w:p>
      <w:pPr>
        <w:pStyle w:val="Heading2"/>
      </w:pPr>
      <w:r>
        <w:t>Erwägungen</w:t>
      </w:r>
    </w:p>
    <w:p>
      <w:r>
        <w:rPr>
          <w:b/>
        </w:rPr>
        <w:t>E. 1</w:t>
      </w:r>
    </w:p>
    <w:p>
      <w:r>
        <w:t>L'appel est recevable contre les ordonnances de mesures protectrices de l’union conjugale, lesquelles doivent être considérées comme des décisions de mesures provisionnelles au sens de l'art. 308 al. 2 CPC (Code de procédure civile suisse du 19 décembre 2008 ; RS 272 ; Tappy, Les voies de droit du nouveau Code de procédure civile, in JdT 2010 III 115, spéc. 121), dans les causes non patrimoniales ou dont la valeur litigieuse, au dernier état des conclusions devant l’autorité inférieure, est de 10'000 fr. au moins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Lorsque le sort d'un enfant mineur est en jeu, l'autorité d'appel n'est pas liée par les conclusions des parties (art. 296 al. 3 CPC).</w:t>
      </w:r>
    </w:p>
    <w:p>
      <w:r>
        <w:rPr>
          <w:b/>
        </w:rPr>
        <w:t>E. 3</w:t>
      </w:r>
    </w:p>
    <w:p>
      <w:r>
        <w:t>L'appelant reproche au premier juge d'avoir attribué le domicile conjugal à l'intimée. Il craint qu'elle ne pourra pas s'acquitter du loyer et que leur situation financière déjà précaire ne se péjore. A titre préliminaire, il convient de préciser que la décision entreprise ne traite que la question de l'attribution du logement conjugal, la garde sur l'enfant étant régie par la convention de mesures protectrices de l’union conjugale du 2 mars 2015 et le montant de la contribution d'entretien ayant été réservé. Ainsi, seule cette question peut faire l'objet de l'appel. Aux termes de l'art 176 al. 1 ch. 2 CC (Code civil suisse du 10 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En l'espèce, la garde de l’enfant est exercée de manière alternée, de sorte que ce critère n’est pas déterminant pour l’attribution du domicile conjugal à l’un ou l’autre des parents. La situation financière des parties est certes précaire ; néanmoins, l'appelant jouit d'une situation un peu plus favorable que son épouse. Il bénéficie en effet d'une rente de l’assurance-invalidité, d'une rente complémentaire et de revenus d'une activité accessoire pour un montant total d'environ 4'000 fr. par mois alors que l’intimée est sans emploi et qu'elle perçoit des indemnités de l’assurance-chômage de l'ordre de 2'700 fr. par mois. Ainsi, même si la situation reste à l'évidence difficile pour les deux parties, il faut considérer, avec le premier juge, qu’il sera un peu plus aisé pour l'appelant de retrouver un logement que pour son épouse et que ses chances de succès sont ainsi plus élevées. Il y a lieu en conséquence d'attribuer à l'intimée le domicile conjugal. Enfin, il appartiendra aux deux parties de requérir, cas échéant, les aides dont ils pourraient avoir droit compte tenu de leur nouvelle situation familiale et financière.</w:t>
      </w:r>
    </w:p>
    <w:p>
      <w:r>
        <w:rPr>
          <w:b/>
        </w:rPr>
        <w:t>E. 4</w:t>
      </w:r>
    </w:p>
    <w:p>
      <w:r>
        <w:t>Il découle des considérants qui précèdent que l'appel doit être rejeté selon le mode procédural de l'art. 312 al. 1 CPC et l'ordonnance entreprise confirmée. Les frais judiciaires de deuxième instance, arrêtés à 600 fr. (art. 65 al. 2 TFJC [tarif des frais judiciaires civils du 28 septembre 2010 ; RSV 270.11.5]), doivent être mis à la charge de l'appelant qui succombe (art. 106 al. 1 CPC). Il n'y a pas lieu d'allouer de dépens à intimée, dès lors qu'elle n'a pas été invitée à se déterminer sur l’appel. Par ces motifs, la Juge déléguée de la Cour d’appel civile prononce : I. L’appel est rejeté. II. L’ordonnance est confirmée. III. Les frais judiciaires de deuxième instance, arrêtés à 600 fr. (six cents francs), sont mis à la charge de l’appelant A.P.________. IV. L’arrêt motivé est exécutoire. La juge déléguée : La greffière : Du</w:t>
      </w:r>
    </w:p>
    <w:p>
      <w:r>
        <w:rPr>
          <w:b/>
        </w:rPr>
        <w:t>E. 8</w:t>
      </w:r>
    </w:p>
    <w:p>
      <w:r>
        <w:t>avril 2016 Le dispositif du présent arrêt est communiqué par écrit aux intéressés. La greffière : Du Le présent arrêt, dont la rédaction a été approuvée à huis clos, est notifié en expédition complète à : ‑ M. A.P.________, ‑ Me Mireille Loroch (pour B.P.________). Il est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