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356 vom 8. April 2016</w:t>
      </w:r>
    </w:p>
    <w:p>
      <w:r>
        <w:t>VD Tribunal cantonal, 2016-04-08, FR</w:t>
      </w:r>
    </w:p>
    <w:p>
      <w:r>
        <w:rPr>
          <w:b/>
        </w:rPr>
        <w:t xml:space="preserve">Quelle: </w:t>
      </w:r>
      <w:r>
        <w:t>https://mcp.opencaselaw.ch/entscheid/vd_findinfo_HC___2016___356</w:t>
      </w:r>
    </w:p>
    <w:p>
      <w:r>
        <w:t>FR: VD_FINDINFO HC / 2016 / 356 du 8 avril 2016</w:t>
      </w:r>
    </w:p>
    <w:p>
      <w:r>
        <w:t>IT: VD_FINDINFO HC / 2016 / 356 del 8 aprile 2016</w:t>
      </w:r>
    </w:p>
    <w:p>
      <w:pPr>
        <w:pStyle w:val="Heading2"/>
      </w:pPr>
      <w:r>
        <w:t>Regeste</w:t>
      </w:r>
    </w:p>
    <w:p>
      <w:r>
        <w:t>AVOCAT D'OFFICE, INDEMNITÉ ÉQUITABLE, ASSISTANCE JUDICIAIRE | 122 al. 1 let. a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15 avril 2014/140 ; CREC 13 février 2013/52 ;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3.1</w:t>
      </w:r>
    </w:p>
    <w:p>
      <w:r>
        <w:t>La recourante se plaint du montant exagéré de l'indemnité allouée à son conseil d'office. Elle fait valoir que c'est l'avocate-stagiaire de ce dernier qui a effectué l'essentiel des opérations et qu'elle ne voit pas comment 17h15 ont pu être consacrées dans son affaire.</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w:t>
      </w:r>
    </w:p>
    <w:p>
      <w:r>
        <w:rPr>
          <w:b/>
        </w:rPr>
        <w:t>E. 3.3</w:t>
      </w:r>
    </w:p>
    <w:p>
      <w:r>
        <w:t>En l'espèce, il convient de rappeler en premier lieu, ce que semble perdre de vue la recourante, que le conseil d'office est intervenu dans deux procédures distinctes et a adressé deux relevés d'opérations détaillés totalisant 17h15 de travail. Au vu du déroulement de ces deux procédures, la durée des opérations n'apparaît pas exagérée et, au vu des relevés, chacune des opérations apparaît justifiée, que ce soit pour les actes de procédure, soit la rédaction d'une requête et de déterminations, ou pour la correspondance, soit plusieurs lettres au tribunal, à la cliente et à la partie adverse. La décision attaquée précise en outre que la très grande majorité des opérations a été accomplie par l'avocate-stagiaire, à raison de 16h15, de sorte que le grief de la recourante tombe à faux.</w:t>
      </w:r>
    </w:p>
    <w:p>
      <w:r>
        <w:rPr>
          <w:b/>
        </w:rPr>
        <w:t>E. 4</w:t>
      </w:r>
    </w:p>
    <w:p>
      <w:r>
        <w:t>Il s'ensuit que le recours doit être rejeté selon le mode procédural de l'art. 322 al. 1 CPC et le prononcé entrepris confirmé. Les frais judiciaires de deuxième instance, arrêtés à 100 fr. (art. 69 al. 1 et 70 al. 3 TFJC [tarif des frais judiciaires en matière civile du 28 septembre 2010 ; RSV 270.11.5]), sont mis à la charge de la recourante, qui succombe (art. 106 al. 1 CPC). Il n'y a pas matière à l'allocation de dépens.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A.________. IV. L'arrêt motivé est exécutoire. Le président :               La greffière : Du 11 avril 2016 Le dispositif de l'arrêt qui précède est communiqué par écrit aux intéressés. La greffière : Du L'arrêt qui précède, dont la rédaction a été approuvée à huis clos, est notifié en expédition complète, par l'envoi de photocopies, à : ‑ Mme A.________ ‑ Me César Montalto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