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340 vom 23. März 2016</w:t>
      </w:r>
    </w:p>
    <w:p>
      <w:r>
        <w:t>VD Tribunal cantonal, 2016-03-23, FR</w:t>
      </w:r>
    </w:p>
    <w:p>
      <w:r>
        <w:rPr>
          <w:b/>
        </w:rPr>
        <w:t xml:space="preserve">Quelle: </w:t>
      </w:r>
      <w:r>
        <w:t>https://mcp.opencaselaw.ch/entscheid/vd_findinfo_HC___2016___340</w:t>
      </w:r>
    </w:p>
    <w:p>
      <w:r>
        <w:t>FR: VD_FINDINFO HC / 2016 / 340 du 23 mars 2016</w:t>
      </w:r>
    </w:p>
    <w:p>
      <w:r>
        <w:t>IT: VD_FINDINFO HC / 2016 / 340 del 23 marzo 2016</w:t>
      </w:r>
    </w:p>
    <w:p>
      <w:pPr>
        <w:pStyle w:val="Heading2"/>
      </w:pPr>
      <w:r>
        <w:t>Regeste</w:t>
      </w:r>
    </w:p>
    <w:p>
      <w:r>
        <w:t>MODIFICATION DES CIRCONSTANCES, PROTECTION DE L'UNION CONJUGALE, REVENU HYPOTHÉTIQUE, DOMICILE À L'ÉTRANGER | 179 al. 1 CC, 179 CC, 317 al. 1 CPC (CH), 317 CPC (CH)</w:t>
      </w:r>
    </w:p>
    <w:p>
      <w:pPr>
        <w:pStyle w:val="Heading2"/>
      </w:pPr>
      <w:r>
        <w:t>Erwägungen</w:t>
      </w:r>
    </w:p>
    <w:p>
      <w:r>
        <w:rPr>
          <w:b/>
        </w:rPr>
        <w:t>E. 1.1</w:t>
      </w:r>
    </w:p>
    <w:p>
      <w:r>
        <w:t>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judiciaire du 12 décembre 1979; RSV 173.01]).</w:t>
      </w:r>
    </w:p>
    <w:p>
      <w:r>
        <w:rPr>
          <w:b/>
        </w:rPr>
        <w:t>E. 1.2</w:t>
      </w:r>
    </w:p>
    <w:p>
      <w:r>
        <w:t>Formé en temps utile par une partie qui y a intérêt et portant sur une cause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consid. 2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des débats principaux. Leur recevabilité en appel est exclue s’ils avaient pu être invoqués en première instance en faisant preuve la diligence requise (Colombini, condensé de la jurisprudence fédérale et vaudoise relative à l’appel et au recours en matière civile, in JdT 2013 III 131 ss, n. 40, p. 150 et les réf. citées). Des novas peuvent par ailleurs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(Hohl, Procédure civile, tome II, 2 e éd., Berne 2010, no 2415 p. 438 ; JdT 2011 III 43).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consid. 4.1.2). En matière de mesures protectrices de l’union conjugale, la maxime inquisitoire est applicable (art. 272 al. 1 CPC). Elle ne dispense toutefois pas les parties d'une collaboration active à la procédure; il leur incombe ainsi de renseigner le juge sur les faits de la cause et de lui indiquer les moyens de preuve disponibles (ATF 128 III 411 consid. 3.2.1 ; TF 5A_385/2012 du 20 septembre 2012 consid. 6.5 ; TF 5A_661/2011 du 16 février 2012 consid. 4.2).</w:t>
      </w:r>
    </w:p>
    <w:p>
      <w:r>
        <w:rPr>
          <w:b/>
        </w:rPr>
        <w:t>E. 3.2</w:t>
      </w:r>
    </w:p>
    <w:p>
      <w:r>
        <w:t>En l’espèce, l’appelante a produit en appel huit pièces sous bordereau. Les pièces n os 1 à 3 (décision attaquée, enveloppe l’ayant contenue et procuration) étant des pièces dites de forme, elles sont recevables. Les pièces n os</w:t>
      </w:r>
    </w:p>
    <w:p>
      <w:r>
        <w:rPr>
          <w:b/>
        </w:rPr>
        <w:t>E. 3.2.2</w:t>
      </w:r>
    </w:p>
    <w:p>
      <w:r>
        <w:t>et les arrêts cités). Partant, il n'y a pas lieu de procéder en plus à l'audition du médecin ayant établi cette attestation. Quant au rapport de physiothérapie du 30 septembre 2015, produit pour la première fois en appel, il est irrecevable, comme indiqué plus haut. Même à supposer recevable, il n'a aucune force probante, puisqu'il se limite à attester que l'appelant a bénéficié de neuf séances de physiothérapie du 3 août au 16 septembre 2015, qu'il propose la poursuite du traitement « à visée d'amélioration des fonctions articulaires et musculaires, dont le renforcement du tronc », de sorte que l'on ne voit pas non plus en quoi cette attestation pourrait expliquer, voire justifier le départ en Espagne de l'intéressé, comme celui-ci le soutient. Enfin, les autres problèmes de santé, notamment urinaux, allégués pour la première fois en appel, ne sont pas établis à satisfaction de droit ; on ne voit de toute manière pas non plus qu'un séjour en Espagne s'imposait de ce fait, même à supposer avéré. Au vu de ce qui précède, c'est à juste titre que le premier juge a retenu un revenu hypothétique, de sorte qu'il n'y a pas lieu de tenir compte du tableau des prétendues charges en Espagne que l'appelant supporte (pièce 6 produite), dont la recevabilité est de toute manière douteuse (voir supra consid. 3.2). 6. Dans la mesure où l'appelant remet également en cause ses charges incompressibles, voire celles de l'intimée, telles que retenues par le premier juge, il y a lieu de considérer ce qui suit : Tout d’abord, l’appelant n'a pas établi au degré de la vraisemblance qu'il exerçait son droit de visite, de sorte que la solution retenue par le premier juge ne prête pas le flanc à la critique et le montant allégué à hauteur de 300 fr. n'a pas à être pris en compte. Ensuite, l’appelant n'a pas établi au degré de la vraisemblance que son domicile sera à Chavannes-près-Renens, soit au domicile conjugal indiqué comme étant son adresse dans l'appel, celui-ci ayant été attribué à l'intimée depuis la convention ratifiée du 5 août 2015 et confirmé par l’ordonnance attaquée, ce qui n'est pas contesté par l'appelant. En outre, les horaires irréguliers dont il fait état ne sont pas non plus rendus vraisemblables. Dès lors, la solution retenue par le premier juge ne prête pas le flanc à la critique dans la mesure où il n'a pas été tenu compte de frais de transports. De la même manière, il n'est pas rendu vraisemblable que le subside de l'assurance-maladie dont bénéficiera l'intimée et son fils est complet du fait de la péjoration de leur situation, comme le soutient l'appelant. Par ailleurs, les contributions de l'aide sociale sont subsidiaires aux obligations alimentaires (TF 5A_158/2010 du 25 mars 2010 consid. 3.2 ; TF 5A_170/2007 du 27 juin 2007 consid. 4, in : FamPra.ch 2007 p. 895 et les références citées). 7. L'appelant conteste encore le blocage de ses comptes ordonné par le premier juge auquel il reproche d'avoir retenu qu'il n'avait pas payé la pension alimentaire du mois de décembre 2015. Or, la pièce 4 produite en appel pour établir le prétendu paiement partiel de 800 fr. est irrecevable (voir infra consid. 3.2). Même à supposer recevable, ce document n'a aucune force probante puisqu'il ne s'agit que d'un simple formulaire non daté et rempli unilatéralement qui n'atteste pas que l'ordre pour le versement partiel de 800 fr. a été effectivement exécuté. En outre, ce montant ne correspond pas à l'obligation alimentaire convenue et l'appelant ne saurait pas non plus se prévaloir dans ce contexte de l'offre de 200 fr. à titre de contribution d'entretien pour l'avenir. Les considérations du premier juge à cet égard ne prêtent pas le flanc à la critique et peuvent être confirmées.</w:t>
      </w:r>
    </w:p>
    <w:p>
      <w:r>
        <w:rPr>
          <w:b/>
        </w:rPr>
        <w:t>E. 4</w:t>
      </w:r>
    </w:p>
    <w:p>
      <w:r>
        <w:t>(ordre de paiement de 800 fr. en faveur de l’intimée pour la pension jusqu’au 31 décembre 2015) et 5 (rapport de physiothérapie daté du 30 septembre 2015) sont antérieures à la clôture de la procédure probatoire intervenue le 5 janvier 2016, de sorte qu’elles n’ont pas été produites avec diligence et sont donc irrecevables. La pièce n o 6, non datée, consiste en un tableau par lequel l’appelant a lui-même recensé ses charges mensuelles. Elle ne dispose ainsi pas d’une force probante suffisante. Dans la mesure où les charges alléguées ne correspondent pas toutes à celles alléguées en première instance et que l’appelant ne motive pas les raisons qui les rendraient admissibles, sa recevabilité apparaît de toute manière douteuse. La pièce n o</w:t>
      </w:r>
    </w:p>
    <w:p>
      <w:r>
        <w:rPr>
          <w:b/>
        </w:rPr>
        <w:t>E. 7</w:t>
      </w:r>
    </w:p>
    <w:p>
      <w:r>
        <w:t>est un contrat rédigé en espagnol. Daté du 26 décembre 2015, il n’a pas été produit avec diligence. La pièce n o</w:t>
      </w:r>
    </w:p>
    <w:p>
      <w:r>
        <w:rPr>
          <w:b/>
        </w:rPr>
        <w:t>E. 8</w:t>
      </w:r>
    </w:p>
    <w:p>
      <w:r>
        <w:t>Compte tenu de ce qui précède, l’appel doit être rejeté selon le mode procédural de l’art. 312 al. 1 CPC. A l’issue d’un examen rétrospectif des chances de succès de l’appel, la requête d’assistance judiciaire déposée par l’appelant doit être rejetée, l'appel étant dénué de chances de succès. Compte tenu du sort de l’appel, les frais judiciaires de deuxième instance, arrêtés à 600 fr., seront mis à la charge de l'appelant.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 A.T.________. V. L’arrêt motivé est exécutoire. La juge déléguée : La greffière : Du 23 mars 2016 Le dispositif du présent arrêt est communiqué par écrit aux intéressés. La greffière : Du Le présent arrêt, dont la rédaction a été approuvée à huis clos, est notifié en expédition complète à : ‑ Me Pierre-Yves Brandt (pour A.T.________), ‑ Me Philippe Chaulmontet (pour B.T.________),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