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338 vom 20. April 2016</w:t>
      </w:r>
    </w:p>
    <w:p>
      <w:r>
        <w:t>VD Tribunal cantonal, 2016-04-20, FR</w:t>
      </w:r>
    </w:p>
    <w:p>
      <w:r>
        <w:rPr>
          <w:b/>
        </w:rPr>
        <w:t xml:space="preserve">Quelle: </w:t>
      </w:r>
      <w:r>
        <w:t>https://mcp.opencaselaw.ch/entscheid/vd_findinfo_HC___2016___338</w:t>
      </w:r>
    </w:p>
    <w:p>
      <w:r>
        <w:t>FR: VD_FINDINFO HC / 2016 / 338 du 20 avril 2016</w:t>
      </w:r>
    </w:p>
    <w:p>
      <w:r>
        <w:t>IT: VD_FINDINFO HC / 2016 / 338 del 20 aprile 2016</w:t>
      </w:r>
    </w:p>
    <w:p>
      <w:pPr>
        <w:pStyle w:val="Heading2"/>
      </w:pPr>
      <w:r>
        <w:t>Regeste</w:t>
      </w:r>
    </w:p>
    <w:p>
      <w:r>
        <w:t>RETRAIT{VOIE DE DROIT}, DÉPENS, EFFET SUSPENSIF | 241 al. 3 CPC (CH)</w:t>
      </w:r>
    </w:p>
    <w:p>
      <w:pPr>
        <w:pStyle w:val="Heading2"/>
      </w:pPr>
      <w:r>
        <w:t>Volltext</w:t>
      </w:r>
    </w:p>
    <w:p>
      <w:r>
        <w:t>Vaud Tribunal cantonal Cour d'appel civile 20.04.2016 HC / 2016 / 338</w:t>
      </w:r>
    </w:p>
    <w:p>
      <w:r>
        <w:t>RETRAIT{VOIE DE DROIT}, DÉPENS, EFFET SUSPENSIF | 241 al. 3 CPC (CH)</w:t>
      </w:r>
    </w:p>
    <w:p>
      <w:r>
        <w:t>TRIBUNAL CANTONAL JP16.006284-160485 207 cour d’appel CIVILE ____________________________ Arrêt du 20 avril 2016 __________________ Composition :               Mme merkli , juge déléguée Greffier : M.              Tinguely ***** Art. 241 al. 3 CPC Statuant sur l’appel interjeté par A.________ , W.________ et Z.________ , tous trois à […], contre l’ordonnance de mesures provisionnelles rendue le 9 mars 2016 par le Président du Tribunal civil de l’arrondissement de Lausanne dans la cause divisant les appelants d’avec la X.________ , la Juge déléguée de la Cour d'appel civile du Tribunal cantonal considère : En fait et en droit : 1. Par courrier du 5 avril 2016, les appelants A.________, W.________ et Z.________ ont déclaré retirer leur appel déposé le 24 mars 2016 contre l’ordonnance de mesures p rovisionnelles du 15 mars 2016 rendue par le Président du Tribunal civil de l’arrondissement de Lausanne et confirmant l’ordonnance de mesures superprovisionnelles du 3 mars 2016, par laquelle ordre avait été donné aux appelants et à tous les occupants des parcelles n os [...] et [...] de la X.________, sises rue [...], [...], propriété de l’intimée, d’évacuer ces parcelles et de les rendre libres de toutes personnes et objets d’ici au 8 mars 2016 à 12 heures, sous la menace de la peine d’amende prévue par l’art. 292 du Code pénal suisse en cas d’insoumission à une décision de l’autorité.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La restitution de l’effet suspensif, requise par les appelants dans le cadre de leur appel, a été refusée par décision du 29 mars 2016 de la Juge de céans, après que l’intimée ait pu se déterminer à ce sujet. En vertu de l’art. 315 al. 4 let. b CPC, l’ordonnance querellée est dès lors demeurée exécutoire pendant la procédure d’appel au sens de l’art. 336 al. 1 let. a CPC (Jeandin, CPC commenté, 2011, n. 12 art. 315 CPC et n. 5 ad art. 336 CPC). L’évacuation ordonnée dans l’ordonnance entreprise a du reste fait l’objet d’une exécution forcée le 30 mars 2016. 3. Le présent arrêt peut être rendu sans frais judiciaires (art. 11 TFJC [tarif du 28 septembre 2010 des frais judiciaires civils ; RSV 270.11.5]). Les appelants, solidairement entre eux, verseront à l’intimée – qui s’est déterminée sur la requête de restitution de l’effet suspensif après avoir été invitée à le faire par la Juge de céans et qui a obtenu gain de cause à cet égard – des dépens de deuxième instance arrêtés à 300 fr. (art. 106 al. 1 CPC; art. 3 al. 2 et 3 TDC [tarif des dépens en matière civile, RSV 270.11.6]). Par ces motifs, la Juge déléguée de la Cour d’appel civile prononce : I. Il est pris acte du retrait de l'appel. II. La cause est rayée du rôle. III. L’arrêt est rendu sans frais judiciaires. IV. Les appelants A.________, W.________ et Z.________, solidairement entre eux, verseront à l’intimée X.________ la somme de 300 fr. (trois cents francs) à titre de dépens de deuxième instance. V. L'arrêt est exécutoire. La juge déléguée : Le greffier : Du Le présent arrêt, dont la rédaction a été approuvée à huis clos, est notifié à : ‑ Me Philippe Currat (pour MM. W.________ et Mme Z.________), ‑ Me Nicolas Mattenberger (pour la X.________),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