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335 vom 6. April 2016</w:t>
      </w:r>
    </w:p>
    <w:p>
      <w:r>
        <w:t>VD Tribunal cantonal, 2016-04-06, FR</w:t>
      </w:r>
    </w:p>
    <w:p>
      <w:r>
        <w:rPr>
          <w:b/>
        </w:rPr>
        <w:t xml:space="preserve">Quelle: </w:t>
      </w:r>
      <w:r>
        <w:t>https://mcp.opencaselaw.ch/entscheid/vd_findinfo_HC___2016___335</w:t>
      </w:r>
    </w:p>
    <w:p>
      <w:r>
        <w:t>FR: VD_FINDINFO HC / 2016 / 335 du 6 avril 2016</w:t>
      </w:r>
    </w:p>
    <w:p>
      <w:r>
        <w:t>IT: VD_FINDINFO HC / 2016 / 335 del 6 aprile 2016</w:t>
      </w:r>
    </w:p>
    <w:p>
      <w:pPr>
        <w:pStyle w:val="Heading2"/>
      </w:pPr>
      <w:r>
        <w:t>Regeste</w:t>
      </w:r>
    </w:p>
    <w:p>
      <w:r>
        <w:t>OBLIGATION D'ENTRETIEN, FAMILLE, CALCUL, MINIMUM VITAL, ENFANT, RENTE D'INVALIDITÉ, ASSURANCE SOCIALE, LEASING | 176 al. 1 ch. 1 CC, 285 al.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w:t>
      </w:r>
    </w:p>
    <w:p>
      <w:r>
        <w:rPr>
          <w:b/>
        </w:rPr>
        <w:t>E. 1.2</w:t>
      </w:r>
    </w:p>
    <w:p>
      <w:r>
        <w:t>En l’espèce, formé en temps utile par une partie qui y a intérêt (art. 59 al. 2 let. a CPC)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(JdT 2011 III 43).</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Juge délégué CACI 19 août 2015/427 consid. 2.1 ; Juge délégué CACI 10 octobre 2013/537 consid. 2.2 ; CACI 1 er février 2012/75 consid. 2a).</w:t>
      </w:r>
    </w:p>
    <w:p>
      <w:r>
        <w:rPr>
          <w:b/>
        </w:rPr>
        <w:t>E. 3</w:t>
      </w:r>
    </w:p>
    <w:p>
      <w:r>
        <w:t>Le principe et le montant de la contribution d’entretien due selon l’art. 176 al. 1 ch. 1 CC (Code civil suisse du 10 décembre 1907, RS 210) se déterminent en fonction des facultés économiques et des besoins respectifs des époux (ATF 121 I 97 consid. 3b ; ATF 118 lI 376 consid. 2b et les réf.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 ATF 114 II 26 ; implicite in ATF 127 III 289, relatif à la charge fiscale), à moins que des circonstances importantes ne justifient de s’en écarter (ATF 119 II 314 consid. 4b/bb). De telles circonstances sont données lorsque l’un des époux a la charge de plusieurs enfants communs (ATF 126 III 8 consid. 3c, JdT 2000 I 29; Perrin, La méthode du minimum vital, SJ 1993 425,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op. cit., p. 447; ATF 114 lI 301). Un partage du montant disponible par 60% en faveur de l'épouse et 40% pour l'époux, voire par 2/3 – 1/3 échappe dans un tel cas à la critique (TF 5A_236/2011 du 18 octobre 2011 consid. 4.2.5). En l’espèce, le premier juge a opté pour une répartition à raison de 60% pour l’intimée et les enfants et 40% pour l’époux. Cette répartition, qui n’est pas contestée par l’appelant, est conforme à la jurisprudence précitée et prend adéquatement en compte le fait que l’intimée assume la charge de deux enfants communs.</w:t>
      </w:r>
    </w:p>
    <w:p>
      <w:r>
        <w:rPr>
          <w:b/>
        </w:rPr>
        <w:t>E. 4</w:t>
      </w:r>
    </w:p>
    <w:p>
      <w:r>
        <w:t>L’appelant, qui ne remet pas en cause la méthode du minimum vital avec répartition de l’excédent appliquée par le premier juge, reproche en premier lieu à ce dernier d’avoir omis de prendre en compte qu’il verse mensuellement à ses filles majeures un montant de 1'200 fr. par mois. Ce grief méconnaît que l’obligation d’entretien envers le conjoint et les enfants mineurs l’emporte sur celle envers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 dès lors pas être inclus dans le minimum vital élargi du débirentier (ATF 132 III 209 consid. 2.3 et la jurisprudence citée; SJ 2006 I 538; TF 5A_958/2014 du 12 mai 2015 consid. 4.5) . Cette jurisprudence vaut également en matière de mesures provisionnelles (ATF 132 III 209 consid. 2.3) et de mesures protectrices (TF 5P. 384/2002 du 17 décembre 2002 consid. 2.1 ; Juge délégué CACI 8 novembre 2011/346). En l’occurrence, l’obligation d’entretien du conjoint et des enfants mineurs primant celle envers l’enfant majeur, il n’y a pas lieu de tenir compte, dans le calcul de la pension due en faveur de l’intimée et des enfants communs du couple, des enfants majeures de l’appelant, nées de sa précédente union, de sorte que les frais d’entretien de ces enfants, d’un total de 1'200 fr. par mois (pièce 53.5 du bordereau du 8 décembre 2015), ne doivent pas être inclus dans le minimum vital élargi de l’appelant. Le moyen est donc mal fondé et doit être rejeté.</w:t>
      </w:r>
    </w:p>
    <w:p>
      <w:r>
        <w:rPr>
          <w:b/>
        </w:rPr>
        <w:t>E. 5.1</w:t>
      </w:r>
    </w:p>
    <w:p>
      <w:r>
        <w:t>L’appelant fait ensuite valoir que soit on considère que la répartition des pensions pour les enfants est de lege opérée par les institutions sociales et que le montant perçu à ce titre échappe au calcul de la répartition du bénéfice, soit on prend en compte le montant total des pensions reçues par l'appelant pour le compte de ses enfants et de lui-même afin de calculer le bénéfice et la répartition qui en découle, le montant nominal versé par les assurances sociales aux enfants constituant le minimum (seuil incompressible) dû à titre de contribution pour l'entretien des siens. Les deux solutions aboutiraient, selon l'appelant, à un résultat équivalent.</w:t>
      </w:r>
    </w:p>
    <w:p>
      <w:r>
        <w:rPr>
          <w:b/>
        </w:rPr>
        <w:t>E. 5.2</w:t>
      </w:r>
    </w:p>
    <w:p>
      <w:r>
        <w:t>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versée jusqu'alors est réduit d'office en conséquence (art. 285 al. 2bis CC).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(TF 5A_ 776/2012 du 13 mars 2013 consid. 5.2 ; TF 5A 207/209 du 21 octobre 2009 consid. 3.2 ; ATF 128 III 305, consid. 4b p. 310). En revanche, elles doivent être déduites des coûts d'entretien de l'enfant. Selon la jurisprudence, l'art. 285 al. 2 CC prescrit principalement au tribunal compétent en matière de divorce de déduire préalablement, lors de la fixation de la contribution d'entretien, ces prestations sociales (TF 5A_207/2009 du 21 octobre 2009 consid. 3.2 et les réf. citées, FamPra.ch 2010 p. 226).</w:t>
      </w:r>
    </w:p>
    <w:p>
      <w:r>
        <w:rPr>
          <w:b/>
        </w:rPr>
        <w:t>E. 5.3</w:t>
      </w:r>
    </w:p>
    <w:p>
      <w:r>
        <w:t>Au vu de cette jurisprudence, c'est à juste titre que le premier juge n'a pas pris en compte les pensions d'enfant versées par l'AI dans le revenu de l'appelant, mais qu'il les a déduites des charges de l'intimée, un calcul global des contributions en faveur de l'intimée et de ses enfants ayant été effectué par le premier juge, ce qui n'est pas remis en cause en appel. Les prestations sociales perçues pour les enfants (839 fr. 70 par enfant), ainsi que les allocations familiales (230 fr. par enfant) ont donc été dûment déduites des frais de l'intimée et de ses enfants (ordonnance, p. 11 in fine ). Le grief, mal fondé, doit dès lors être rejeté.</w:t>
      </w:r>
    </w:p>
    <w:p>
      <w:r>
        <w:rPr>
          <w:b/>
        </w:rPr>
        <w:t>E. 6.1</w:t>
      </w:r>
    </w:p>
    <w:p>
      <w:r>
        <w:t>L'appelant conteste enfin les frais de leasing par 305 fr. 75, les taxes véhicules par 42 fr. 50 et l'assurance RC par 144 fr. 55 retenus dans les charges de l'intimée. Il fait valoir que l'employeur offrirait un abonnement général à l'intimée et, si nécessaire pour l'accomplissement de son travail, mettrait à disposition une voiture d'entreprise et, pour les personnes qui utilisent leur véhicule privé, les défraierait par 70 centimes par kilomètre parcouru.</w:t>
      </w:r>
    </w:p>
    <w:p>
      <w:r>
        <w:rPr>
          <w:b/>
        </w:rPr>
        <w:t>E. 6.2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Sont pris en compte les coûts fixes et variable, sans l'amortissement (Lignes directrices pour le calcul du minimum vital du droit des poursuites selon l'art. 93 LP du 1 er juillet 2009 ch. II), celui-ci ne servant en effet pas à l'entretien, mais à la constitution du patrimoine (TF 5A_508/2011 du 21 novembre 2011 consid. 4.2.3). Sont englobées les primes d'assurances et la taxe automobile, ainsi qu'un montant par kilomètre (70 ct) multiplié par le nombre de jours ouvrables (Juge délégué CACI 4 mai 2011/65). Les frais de leasing d'un véhicule nécessaire à la profession doivent être entièrement pris en compte, sous réserve du leasing d'un véhicule trop onéreux (ATF 140 III 337 consid. 5.2, JdT 2015 II 227).</w:t>
      </w:r>
    </w:p>
    <w:p>
      <w:r>
        <w:rPr>
          <w:b/>
        </w:rPr>
        <w:t>E. 6.3</w:t>
      </w:r>
    </w:p>
    <w:p>
      <w:r>
        <w:t>En l’occurrence, le premier juge a retenu que les frais autres que ceux de leasing, de taxe véhicule et d'assurance RC n'étaient pas pris en compte, car couverts par un remboursement de frais de l'employeur. Il n'est pas établi – les allégués 81 à 83 dont se prévaut l'appelant devant être prouvés par l'interrogatoire des parties, qui n'est pas intervenu, alors qu'il appartenait à l'appelant, avocat de profession, de ne pas laisser clore l'instruction sans renouveler sa réquisition de mesure d'instruction – que les frais remboursés par l'employeur couvriraient plus que les frais d'essence et d'entretien du véhicule, ni qu'un véhicule d'entreprise serait mis gracieusement à disposition de l'intimée. La nécessité de l'utilisation d'un véhicule privé est rendue suffisamment vraisemblable, du fait que des frais d'utilisation professionnelle sont remboursés par l'employeur ; au demeurant, elle résulte également de la nécessité de pouvoir transporter les deux enfants, dont l'intimée a la garde. C'est dès lors à juste titre que le premier juge a retenu dans les charges de l'intimée tous les frais de véhicule non couverts par l'employeur, savoir les frais de leasing, d'assurance RC et de taxe véhicule, dont la quotité n'est pas contestée. Le moyen est donc mal fondé et doit être rejeté.</w:t>
      </w:r>
    </w:p>
    <w:p>
      <w:r>
        <w:rPr>
          <w:b/>
        </w:rPr>
        <w:t>E. 7</w:t>
      </w:r>
    </w:p>
    <w:p>
      <w:r>
        <w:t>Il résulte de ce qui précède que l’appel doit être rejeté selon le mode procédural de l’art. 312 al. 1 CPC et le prononcé attaqué confirmé. Au vu de l’issue du litige, les frais de deuxième instance, arrêtés à 600 fr. (art. 65 al. 2 TFJC [tarif des frais judiciaires civils du 28 septembre 2010 ; RSV 270.11.5]), seront mis à la charge de l’appelant, qui succombe (art. 106 al. 1 CPC). L’intimée n’ayant pas été invitée à se déterminer sur l’appel (art. 312 al. 1 CPC), il n’y a pas lieu de lui allouer de dépens de deuxième instance. Par ces motifs, le juge délégué de la Cour d’appel civile prononce : I. L’appel est rejeté. II. Le prononcé est confirmé. III. Les frais judiciaires de deuxième instance, arrêtés à 600 fr. (six cents francs), sont mis à la charge de l’appelant C.________. IV. L’arrêt motivé est exécutoire. Le juge délégué : Le greffier : Du 6 avril 2016 Le dispositif du présent arrêt est communiqué par écrit aux intéressés. Le greffier : Du Le présent arrêt, dont la rédaction a été approuvée à huis clos, est notifié en expédition complète à : ‑ M. C.________, ‑ Me Xavier Oulevey (pour E.________),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