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321 vom 10. März 2016</w:t>
      </w:r>
    </w:p>
    <w:p>
      <w:r>
        <w:t>VD Tribunal cantonal, 2016-03-10, FR</w:t>
      </w:r>
    </w:p>
    <w:p>
      <w:r>
        <w:rPr>
          <w:b/>
        </w:rPr>
        <w:t xml:space="preserve">Quelle: </w:t>
      </w:r>
      <w:r>
        <w:t>https://mcp.opencaselaw.ch/entscheid/vd_findinfo_HC___2016___321</w:t>
      </w:r>
    </w:p>
    <w:p>
      <w:r>
        <w:t>FR: VD_FINDINFO HC / 2016 / 321 du 10 mars 2016</w:t>
      </w:r>
    </w:p>
    <w:p>
      <w:r>
        <w:t>IT: VD_FINDINFO HC / 2016 / 321 del 10 marzo 2016</w:t>
      </w:r>
    </w:p>
    <w:p>
      <w:pPr>
        <w:pStyle w:val="Heading2"/>
      </w:pPr>
      <w:r>
        <w:t>Regeste</w:t>
      </w:r>
    </w:p>
    <w:p>
      <w:r>
        <w:t>MESURE PROVISIONNELLE, OBLIGATION D'ENTRETIEN, MODIFICATION DES CIRCONSTANCES | 176 al. 1 ch. 1 CC, 286 al. 2 CC, 276 al. 1 CPC (CH)</w:t>
      </w:r>
    </w:p>
    <w:p>
      <w:pPr>
        <w:pStyle w:val="Heading2"/>
      </w:pPr>
      <w:r>
        <w:t>Erwägungen</w:t>
      </w:r>
    </w:p>
    <w:p>
      <w:r>
        <w:rPr>
          <w:b/>
        </w:rPr>
        <w:t>E. 1</w:t>
      </w:r>
    </w:p>
    <w:p>
      <w:r>
        <w:t>A.N.________, né le [...] 1956, de nationalité française, et B.N.________ le [...] 1971, de nationalité suisse, se sont mariés le [...] 2002 à [...] (Colorado, USA). Deux enfants sont issus de cette union : - C.N.________, née le [...] 2002 à [...] (Colorado, USA) ; - D.N.________, né le [...] 2007 à [...] (VD). A.N.________ est également le père de trois enfants majeurs issus d’un précédent mariage. Ces trois enfants, dont la cadette [...], née le [...] 1994, vivent aux Etats-Unis. Par jugement de divorce du 4 mars 2003, A.N.________ a été astreint à contribuer à l’entretien des trois enfants résidant aux Etats-Unis par le versement d’un montant de 739.22 dollars par mois jusqu’à ce qu’ils atteignent l’âge de 19 ans ou leur indépendance financière.</w:t>
      </w:r>
    </w:p>
    <w:p>
      <w:r>
        <w:rPr>
          <w:b/>
        </w:rPr>
        <w:t>E. 1.1</w:t>
      </w:r>
    </w:p>
    <w:p>
      <w:r>
        <w:t>L'art. 308 al. 1 let. b CPC (Code de procédure civile du 19 décembre 2008; RS 272) ouvre la voie de l'appel contre les ordonnances de mesures provisionnelles rendues dans les causes patrimoniales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interjeté en temps utile par une partie qui y a un intérêt digne de protection (art. 59 al. 2 let. a CPC) et portant sur des conclusions qui, capitalisées selon l'art. 92 al. 2 CPC, sont d'au moins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Les voies de droit du nouveau Code de procédure civile, JdT 2010 III 139), à tout le moins lorsque le juge de première instance a violé la maxime inquisitoire illimitée (JdT 2011 III 43 et réf. cit.). En l'espèce, dès lors que le litige porte sur la question de la contribution d’entretien due à des enfants mineurs, il est régi par la maxime inquisitoire illimitée, de sorte que les pièces nouvelles sont recevables et qu’elles seront prises en considération dans la mesure de leur utilité. 4. Seul est litigieux en l'espèce le montant de la contribution d'entretien due, au vu du retrait de la conclusion relative aux modalités du droit de visite. L’appelant soutient tout d’abord qu’il n’y a pas de fait nouveau important et durable qui justifierait de revoir la contribution d’entretien qui avait été fixée à 500 fr. en faveur des enfants C.N.________ et D.N.________ par convention du 13 août 2012.</w:t>
      </w:r>
    </w:p>
    <w:p>
      <w:r>
        <w:rPr>
          <w:b/>
        </w:rPr>
        <w:t>E. 2</w:t>
      </w:r>
    </w:p>
    <w:p>
      <w:r>
        <w:t>A.N.________ et B.N.________ vivent séparés depuis le 1 er juin 2012. Par convention signée les 30 juillet et 6 août 2012, ratifiée par le Président le 13 août 2012 pour valoir ordonnance de mesures protectrices de l'union conjugale, les parties ont en particulier prévu de vivre séparées pour une durée de deux ans (I), que la garde sur C.N.________ et D.N.________ était attribuée à leur mère, B.N.________ (II), qu’A.N.________ bénéficierait d’un libre et large droit de visite sur ses filles, à fixer d’entente avec la mère, et qu’à défaut d’entente, son droit de visite s’exercerait un week-end sur deux, du vendredi soir 18h00 au dimanche soir 18h00, le mercredi après-midi, de midi à 18h00, durant les vacances scolaires, sous déduction de six semaines que les enfants passeraient avec B.N.________, dont les dates seraient fixées trois mois à l’avance, et alternativement à Noël ou à Nouvel-An, à Pâques ou à l’Ascension, à Pentecôte ou au Jeûne fédéral (III), et qu’A.N.________ contribuerait à l’entretien des siens par le régulier versement d’une pension de 500 fr., allocations familiales en sus, payable d’avance le premier de chaque mois, en mains d’B.N.________, dès le 1 er juillet 2012 (IV).</w:t>
      </w:r>
    </w:p>
    <w:p>
      <w:r>
        <w:rPr>
          <w:b/>
        </w:rPr>
        <w:t>E. 3</w:t>
      </w:r>
    </w:p>
    <w:p>
      <w:r>
        <w:t>B.N.________ a ouvert action en divorce par demande unilatérale du 29 août 2014.</w:t>
      </w:r>
    </w:p>
    <w:p>
      <w:r>
        <w:rPr>
          <w:b/>
        </w:rPr>
        <w:t>E. 4</w:t>
      </w:r>
    </w:p>
    <w:p>
      <w:r>
        <w:t>Compte tenu des requêtes de mesures provisionnelles déposées par chacune des parties s’agissant de la question du droit de garde sur les enfants et du droit aux relations personnelles, le Président a chargé, par lettre du 17 juillet 2015, l’Unité d’évaluation et de missions spécifiques (UEMS) du SPJ de procéder à une évaluation des conditions de vie des enfants C.N.________ et D.N.________ auprès de chacun de leurs parents et de formuler toute proposition au sujet de l’attribution de la garde et de l’exercice du droit aux relations personnelles du parent non gardien. Le SPJ a rendu son rapport le 8 avril 2016, soit postérieurement au prononcé du présent arrêt.</w:t>
      </w:r>
    </w:p>
    <w:p>
      <w:r>
        <w:rPr>
          <w:b/>
        </w:rPr>
        <w:t>E. 4.1</w:t>
      </w:r>
    </w:p>
    <w:p>
      <w:r>
        <w:t>Aux termes de l'art. 286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131 III 189 consid. 2.7.4; ATF 120 II 177 consid. 3a, ATF 120 II 285 consid. 4b). Le moment déterminant pour apprécier si des circonstances nouvelles se sont produites est la date du dépôt de la demande de modification (ATF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 4.1.2).</w:t>
      </w:r>
    </w:p>
    <w:p>
      <w:r>
        <w:rPr>
          <w:b/>
        </w:rPr>
        <w:t>E. 4.2</w:t>
      </w:r>
    </w:p>
    <w:p>
      <w:r>
        <w:t>En l’espèce, la contribution d’entretien fixée dans la convention ratifiée le 13 août 2012 l’avait été en tenant compte du fait que l’appelant devait s’acquitter d’un montant de 1'200 francs suisses à titre de contribution d’entretien pour ses enfants nés d’une précédente union et vivant aux Etats-Unis. Actuellement, il ne doit payer plus qu’un montant de 400 dollars, correspondant à environ 380 francs suisses. Ce seul fait justifie déjà de revoir la contribution d’entretien fixée en faveur des enfants C.N.________ et D.N.________. 5.</w:t>
      </w:r>
    </w:p>
    <w:p>
      <w:r>
        <w:rPr>
          <w:b/>
        </w:rPr>
        <w:t>E. 5</w:t>
      </w:r>
    </w:p>
    <w:p>
      <w:r>
        <w:t>Par requête de mesures provisionnelles du 15 juillet 2015, B.N.________ a notamment conclu à ce qu’A.N.________ soit condamné à contribuer à l’entretien de chacun de ses enfants par le régulier versement d’une pension par enfant et d’avance le premier de chaque mois, en mains de la requérante, allocations familiales en sus, dès le 1 er juillet 2015 de 1'100 fr. jusqu’à l’âge de 8 ans révolus, de 1'200 fr. entre</w:t>
      </w:r>
    </w:p>
    <w:p>
      <w:r>
        <w:rPr>
          <w:b/>
        </w:rPr>
        <w:t>E. 5.1</w:t>
      </w:r>
    </w:p>
    <w:p>
      <w:r>
        <w:t>et les réf. citées).</w:t>
      </w:r>
    </w:p>
    <w:p>
      <w:r>
        <w:rPr>
          <w:b/>
        </w:rPr>
        <w:t>E. 5.2</w:t>
      </w:r>
    </w:p>
    <w:p>
      <w:r>
        <w:t>Le juge fixe le principe et le montant de la contribution d'entretien à verser par l'une des parties à l'autre selon l'art. 176 al. 1 ch. 1 CC (par renvoi de l’art. 276 al. 1 CPC). Selon l'art. 285 CC, applicable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(CACI du 12 mai 2015/234 consid. 4.2; jurisprudence constante ATF 116 Il 110, JdT 1993 I 162 consid.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pour un enfant, 25 à 27% lorsqu’il y en a deux, 30 à 35% lorsqu’il y en a trois et 40% lorsqu’il y en a quatre (Bastons-Bulletti, L’entretien après divorce : méthodes de calcul, montant, durée et limites, in SJ 2007 II 77 ss, spéc. p. 107 s. ; RSJ 1984, p. 392, n. 4 et note p. 393 ; Meier/Stettler, Droit de la filiation, 5 e éd., Zurich 2014, n. 1076, pp. 712 s. ; TF 5A_84/2007 du 18 septembre 2007 consid. 5.1). Il s’agit là d’un taux approximatif qui doit être pondéré au vu des circonstances, selon l’équité (ATF 107 Il 406 consid. 2c ; RSJ 1984, p. 392, n. 4 précité ; Meier/Stettler, ibid.). Le Tribunal fédéral a admis cette méthode dite « des pourcentages », pour autant que la pension reste en rapport avec le niveau de vie et la capacité contributive du débiteur (TF 5A_178/2008 du 23 avril 2008 consid. 3.3; TF 5A_84/2007 du 18 septembre 2007 consid.</w:t>
      </w:r>
    </w:p>
    <w:p>
      <w:r>
        <w:rPr>
          <w:b/>
        </w:rPr>
        <w:t>E. 5.3</w:t>
      </w:r>
    </w:p>
    <w:p>
      <w:r>
        <w:t>En l’espèce, il n’y a aucune raison de s’écarter de la méthode dite « des pourcentages » utilisée par le premier juge pour déterminer le montant de la contribution d’entretien. En revanche, celui-ci s’est contenté d’appliquer un taux de 25% au revenu de l’appelant pour tenir compte des deux enfants à charge sans examiner la situation financière de l’intimée et apprécier globalement la situation des parties. Il a en outre considéré que l’appelant ne versait plus aucune contribution d’entretien en faveur de ses enfants vivant aux Etats-Unis. Or tel n’est pas le cas, l’appelant ayant établi, lors de l’audience d’appel du 10 mars 2015, qu’il avait encore la charge de sa fille [...] qui vit aux Etats-Unis et pour laquelle il s’acquitte d’une pension de 400 dollars. Par ailleurs, bien que les disponibles de chaque partie soient plus ou moins équivalents (3'666 fr. 45  pour l’appelant et 3'472 fr. 85 pour l’intimée), force est de constater que le revenu de l’intimée (12'469 fr. 85) est bien plus important que celui de l’appelant (8'229 fr.) et qu’il lui permet de couvrir ses propres charges, ainsi que celles des deux enfants, d'autant plus qu'il a été tenu compte des impôts dans les charges de l'intimée et pas dans celles de l'appelant. En outre, l’intimée a indiqué que son ami participait aux charges alimentaires du ménage mais pas au paiement du loyer. Compte tenu de tous ces éléments, il apparaît équitable d’appliquer un taux de 20% au revenu de l’appelant et de fixer la contribution d’entretien globale à sa charge à 1'600 fr. pour les deux enfants, soit à 800 fr. par enfant.</w:t>
      </w:r>
    </w:p>
    <w:p>
      <w:r>
        <w:rPr>
          <w:b/>
        </w:rPr>
        <w:t>E. 5.4</w:t>
      </w:r>
    </w:p>
    <w:p>
      <w:r>
        <w:t>L'appelant a précisé que la contribution d'entretien pour sa fille [...] ne serait plus due à compter du 1 er juin 2016 dans la mesure où celle-ci devrait obtenir son diplôme d'enseignante. Il n'y pas lieu de prévoir, pour ce motif, une augmentation de la contribution due, dès lors que les charges de l'intimée diminueront au 1 er juin 2016. En effet, son ami sera officiellement domicilié chez elle et ne s'acquittera plus d'un loyer pour un appartement à Lausanne, ce qui devrait entraîner une diminution de la charge de loyer de l'intimée. 6. En définitive, l’appel est partiellement admis et l’ordonnance querellée réformée en ce sens qu’A.N.________ contribuera à l’entretien des enfants C.N.________ et D.N.________ par le régulier versement, pour chacun d’eux, d’une pension d’un montant mensuel de 800 fr., allocations familiales non comprises, payable d’avance le premier de chaque mois en mains d’B.N.________, dès le 1 er juillet 2015. Vu l’issue de l’appel, les frais judiciaires de deuxième instance, arrêtés à 600 fr. (art. 63 al. 1 et 65 al. 1 TFJC [tarif des frais judiciaires civils du 28 septembre 2010 ; RSV 270.11.5]), seront mis à la charge de l’appelant par 400 fr. (2/3) et à la charge de l’intimée par 200 fr. (1/3). Dès lors que l'avance de frais de 600 fr. a été effectuée par l'appelant, l'intimée lui remboursera les frais judiciaires mis à sa charge par 200 francs. L’appelant versera à l’intimée la somme de 1'000 fr. à titre de dépens réduits de deuxième instance (art. 106 al. 2 CPC; art. 7 TDC [tarif des dépens en matière civile du 23 novembre 2010 ; RSV 270.11.6]). Par ces motifs, la Juge déléguée de la Cour d’appel civile prononce : I. L’appel est partiellement admis. II. Il est statué à nouveau comme suit : III. DIT qu’A.N.________ contribuera à l’entretien des enfants C.N.________ et D.N.________ par le régulier versement, pour chacun d’eux, d’une pension d’un montant mensuel de 800 fr. (huit cents francs), allocations familiales non comprises, payable d’avance le premier de chaque mois en mains d’B.N.________, dès le 1 er juillet 2015. L’ordonnance est maintenue pour le surplus. III. Les frais judiciaires de deuxième instance, arrêtés à 600 fr. (six cents francs), sont mis par 400 fr. (quatre cents francs) à la charge de l’appelant A.N.________ et par 200 fr. (deux cents francs) à la charge de l’intimée B.N.________. IV. L’appelant A.N.________ versera à l’intimée B.N.________, la somme de 1'000 fr. (mille francs) à titre de dépens de deuxième instance. V. L’arrêt est exécutoire. La juge déléguée : La greffière : Du Le présent arrêt, dont la rédaction a été approuvée à huis clos, est notifié en expédition complète à : ‑ Me Anne-Luce Julsaint Buonomo (pour A.N.________), ‑ Me Franck-Olivier Karlen (pour B.N.________),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et 12 ans révolus, de 1'300 fr. entre 12 et 15 ans révolus, de 1'400 fr. dès 15 ans révolus et jusqu’au terme d’une formation au sens de l’art. 277 al. 2 CC. Par réponse du 15 septembre 2015, A.N.________ a notamment conclu au rejet de cette conclusion. Une audience de mesures provisionnelles s’est tenue le 18 septembre 2015 devant le Président, en présence des parties, assistées de leurs conseils respectifs. A cette occasion, la conciliation a été tentée en vain. 6. La situation matérielle des parties est la suivante : 6.1 A.N.________ est employé à l’Etat de Vaud à plein temps en qualité de maître de l’enseignement obligatoire auprès de l’établissement primaire de [...]. Il perçoit à ce titre un revenu mensuel net de 7'596 fr., versé treize fois l’an, soit un revenu net de 8’229 fr. par mois, en tenant compte du treizième salaire. Ses charges mensuelles incompressibles peuvent être détaillées comme suit : - montant de base Fr.               1'200.00 - frais liés au droit de visite Fr. 150.00 - pension [...] Fr.                  380.00 - loyer appartement Fr.               2'000.00 - loyer place de parc Fr. 150.00 - prime assurance maladie Fr. 315.35 - leasing Fr. 367.20 Total              Fr. 4'562.55 Selon jugement de divorce du 4 mars 2003, A.N.________ devait s'acquitter d'une pension de 739.22 dollars pour ses trois enfants qui vivent aux Etats-Unis. Actuellement, il ne s'acquitte plus que d'un montant de 400 dollars, correspondant à 380 francs suisses (arrondis) au taux de 0.94810 au 1 er juillet 2015, pour sa fille [...] qui devrait terminer ses études en mai 2016 et obtenir un diplôme d'enseignante. Le disponible d’A.N.________ se monte par conséquent à 3’666 fr. 45 (8’229 fr. ./. 4’562 fr. 55). 6.2 B.N.________ est employée à plein temps par la société [...] à [...] en qualité d’« office manager / administrative assistant ». Selon certificat de salaire 2015, elle a perçu, pour cette activité, un revenu mensuel net de 12'459 fr. 85 (participation à l’assurance maladie de 4’800 fr. non comprise). Les charges mensuelles alléguées sont les suivantes: - montant de base Fr. 1'350.00 - montant de base C.N.________ Fr. 600.00 - montant de base D.N.________ Fr.    400.00 - loyer (y compris place de parc) Fr. 3'000.00 - primes assurance maladie Fr. 149.00 - frais de transport enfants Fr. 100.00 - frais de garde Fr.    717.00 - activités extrascolaires des enfants Fr. 180.00 - assurance ménage Fr.      23.00 - frais de transports (y compris taxe auto) Fr. 200.00 - assurance casco Fr.    133.00 - impôts Fr. 2'135.00 - Total Fr. 8'987.00 B.N.________ dispose par conséquent d’un disponible de 3'472 fr. 85. (12'459 fr. 85 ./. 8'987 fr.).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