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32 vom 4. Januar 2016</w:t>
      </w:r>
    </w:p>
    <w:p>
      <w:r>
        <w:t>VD Tribunal cantonal, 2016-01-04, FR</w:t>
      </w:r>
    </w:p>
    <w:p>
      <w:r>
        <w:rPr>
          <w:b/>
        </w:rPr>
        <w:t xml:space="preserve">Quelle: </w:t>
      </w:r>
      <w:r>
        <w:t>https://mcp.opencaselaw.ch/entscheid/vd_findinfo_HC___2016___32</w:t>
      </w:r>
    </w:p>
    <w:p>
      <w:r>
        <w:t>FR: VD_FINDINFO HC / 2016 / 32 du 4 janvier 2016</w:t>
      </w:r>
    </w:p>
    <w:p>
      <w:r>
        <w:t>IT: VD_FINDINFO HC / 2016 / 32 del 4 gennaio 2016</w:t>
      </w:r>
    </w:p>
    <w:p>
      <w:pPr>
        <w:pStyle w:val="Heading2"/>
      </w:pPr>
      <w:r>
        <w:t>Regeste</w:t>
      </w:r>
    </w:p>
    <w:p>
      <w:r>
        <w:t>MOTIVATION DE LA DEMANDE, DÉCISION D'IRRECEVABILITÉ | 321 al. 1 CPC (CH)</w:t>
      </w:r>
    </w:p>
    <w:p>
      <w:pPr>
        <w:pStyle w:val="Heading2"/>
      </w:pPr>
      <w:r>
        <w:t>Erwägungen</w:t>
      </w:r>
    </w:p>
    <w:p>
      <w:r>
        <w:rPr>
          <w:b/>
        </w:rPr>
        <w:t>E. 4</w:t>
      </w:r>
    </w:p>
    <w:p>
      <w:r>
        <w:t>En date du 3 décembre 2015, l’Office a renvoyé, par courrier recommandé, à T.________SA, l’avis de sommation du 7 septembre 2015 avec cette fois-ci une échéance de rappel au 2 janvier 2016.</w:t>
      </w:r>
    </w:p>
    <w:p>
      <w:r>
        <w:rPr>
          <w:b/>
        </w:rPr>
        <w:t>E. 5</w:t>
      </w:r>
    </w:p>
    <w:p>
      <w:r>
        <w:t>Par acte du 12 décembre 2015, T.________SA a déclaré faire recours contre l’avis précité, en indiquant à titre de conclusion qu’elle paierait la facture de l’Office dès la r éception d’un versement de 14'400 fr. qu’elle estime pouvoir exiger de celui-ci à titre de manque à gagner. La teneur de ce recours est identique au courrier qu’avait adressé T.________SA à l’Office en date du 12 juin 2015, retraçant l’historique des évènements du point de vue de la recourante. La lettre d’envoi accompagnant le recours, datée du même jour, contient, quant à elle, en plus de la conclusion en compensation, une conclusion en annulation de la facture de l’Office, qui ne figure pas dans l’acte de recours.</w:t>
      </w:r>
    </w:p>
    <w:p>
      <w:r>
        <w:rPr>
          <w:b/>
        </w:rPr>
        <w:t>E. 6</w:t>
      </w:r>
    </w:p>
    <w:p>
      <w:r>
        <w:t>Par courrier du 22 décembre 2015, l’Office a indiqué à la Chambre de céans que le programme informatique « SAP » ne permettait actuellement pas l’envoi de ses sommations comptables en recommandé et qu’il procédait par conséquent au renvoi en recommandé des sommations restées sans suite ; cela expliquait la raison pour laquelle la sommation qui avait déjà fait l’objet d’un recours a été renvoyée. 7.             a) Aux termes de l'art. 321 al. 1 CPC, le recours doit être écrit et motivé. Pour satisfaire à l'exigence de motivation, il ne suffit pas de renvoyer aux moyens soulevés en première instance, ni de se livrer à des critiques générales de la décision attaquée.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concernant l’appel, mais applicable par analogie au recours ; Jeandin, CPC commenté, 2011, n. 4 ad art. 321 CPC et n. 3 ad art. 311 CPC). Le recours doit en outre comporter, sous peine d'irrecevabilité, des conclusions sur le fond qui permettent à l’instance de recours – dans l’hypothèse où elle aurait décidé d’admettre le recours – d’annuler la décision ou de statuer à nouveau (TF 4A_659/2011 du 7 décembre 2011 consid. 4 in RSPC 2012 p. 128 et SJ 2012 I 31; CREC 22 juillet 2015/268 ; Jeandin, CPC commenté, Bâle 2011, n. 2 ad art. 321 CPC et n. 4 ad art. 311 CPC).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la recourante s’en prend au principe de l’émolument, sans autre motivation que la compensation avec sa prétendue créance. Elle n’indique toutefois pas en quoi cet émolument ne serait pas dû et se contredit dans la mesure où elle prévoit néanmoins la possibilité d’une compensation. La motivation et les conclusions de la recourante ne sont, par conséquent, pas suffisamment explicites pour que la Chambre de céans comprenne les éléments qui fondent sa critique et puisse statuer. Pour ces motifs, le recours doit être déclaré irrecevable.</w:t>
      </w:r>
    </w:p>
    <w:p>
      <w:r>
        <w:rPr>
          <w:b/>
        </w:rPr>
        <w:t>E. 8</w:t>
      </w:r>
    </w:p>
    <w:p>
      <w:r>
        <w:t>Le présent arrêt peut être rendu sans frais judiciaires de deuxième instance (art. 11 TFJC [tarif du 28 septembre 2010 des frais judiciaires civils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T.________SA, ‑ Office cantonal du registre du commerce.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