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311 vom 16. März 2016</w:t>
      </w:r>
    </w:p>
    <w:p>
      <w:r>
        <w:t>VD Tribunal cantonal, 2016-03-16, FR</w:t>
      </w:r>
    </w:p>
    <w:p>
      <w:r>
        <w:rPr>
          <w:b/>
        </w:rPr>
        <w:t xml:space="preserve">Quelle: </w:t>
      </w:r>
      <w:r>
        <w:t>https://mcp.opencaselaw.ch/entscheid/vd_findinfo_HC___2016___311</w:t>
      </w:r>
    </w:p>
    <w:p>
      <w:r>
        <w:t>FR: VD_FINDINFO HC / 2016 / 311 du 16 mars 2016</w:t>
      </w:r>
    </w:p>
    <w:p>
      <w:r>
        <w:t>IT: VD_FINDINFO HC / 2016 / 311 del 16 marzo 2016</w:t>
      </w:r>
    </w:p>
    <w:p>
      <w:pPr>
        <w:pStyle w:val="Heading2"/>
      </w:pPr>
      <w:r>
        <w:t>Regeste</w:t>
      </w:r>
    </w:p>
    <w:p>
      <w:r>
        <w:t>DÉLAI DE RÉSILIATION, INCAPACITÉ DE TRAVAIL, DROIT DU TRAVAIL, DROIT AU SALAIRE, CONGÉ NON PAYÉ | 324a CO, 333 CO, 336c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de Z.________SA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et la jurisprudence constante de la CACI, notamment CACI 1 er février 2012/57 consid. 2a).</w:t>
      </w:r>
    </w:p>
    <w:p>
      <w:r>
        <w:rPr>
          <w:b/>
        </w:rPr>
        <w:t>E. 3.1</w:t>
      </w:r>
    </w:p>
    <w:p>
      <w:r>
        <w:t>L’appelante conteste qu’il y ait eu un transfert par actes concluants des rapports de travail avec R.________. Elle soutient que son contrat de travail aurait débuté le 1 er mai 2010 et non le 1 er juin 2007 et que, partant, le délai de protection dont il bénéficiait était de 90 jours. Elle en déduit que le licenciement signifié le 25 mars 2014 pour le 31 mai 2014 était valable.</w:t>
      </w:r>
    </w:p>
    <w:p>
      <w:r>
        <w:rPr>
          <w:b/>
        </w:rPr>
        <w:t>E. 3.2.1</w:t>
      </w:r>
    </w:p>
    <w:p>
      <w:r>
        <w:t>Au vu de l’art. 333 al. 1 CO, si l’employeur transfère l’entreprise ou une partie de celle-ci à un tiers, les rapports de travail passent à l’acquéreur avec tous les droits et les obligations qui en découlent, au jour du transfert, à moins que le travailleur ne s’y oppose. Selon l’art. 333 al. 4 CO, l’employeur ne peut pas transférer à un tiers les droits découlant des rapports de travail, à moins que le contraire n’ait été convenu ou ne résulte des circonstances.</w:t>
      </w:r>
    </w:p>
    <w:p>
      <w:r>
        <w:rPr>
          <w:b/>
        </w:rPr>
        <w:t>E. 3.2.2</w:t>
      </w:r>
    </w:p>
    <w:p>
      <w:r>
        <w:t>Aux termes de l’art. 336c al. 1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(let. b), de même que pendant la grossesse et au cours des seize semaines qui suivent l’accouchement (let. c). Selon l’art. 336c al. 2 CO, le congé donné pendant une des périodes prévues à l’alinéa précédent est nul.</w:t>
      </w:r>
    </w:p>
    <w:p>
      <w:r>
        <w:rPr>
          <w:b/>
        </w:rPr>
        <w:t>E. 3.3</w:t>
      </w:r>
    </w:p>
    <w:p>
      <w:r>
        <w:t>En l’espèce, il n’est pas nécessaire de déterminer la date exacte à laquelle les rapports de travail ont pris fin dans la mesure où aucun salaire n’a été alloué pour la période postérieure au 31 mai 2014. Néanmoins, il faut trancher la question de savoir s’il y a eu un transfert des rapports de travail de l’intimé entre la société C.________SA et la société D.________SNC afin de déterminer dans le cours de quelle année de service il se trouvait, car sa prétention fondée sur l’art. 324a CO en dépend (cf. infra consid. 4.2.1). Il résulte des faits que, du 1 er juin 2007 au 30 avril 2010, l’intimé était employé de C.________SA et que dès le 1 er mai 2010, il a été employé et rémunéré par D.________SNC. S’il avait conclu un contrat écrit avec C.________SA, aucun contrat écrit n’a été signé avec D.________SNC. L’appelante ne soutient pas qu’un contrat aurait été négocié ou conclu oralement, ou que les conditions contractuelles, telles que les horaires ou le salaire, auraient changé dès le 1 er mai 2010. En revanche, en avril 2010, un courrier a été adressé à l’intimé, muni du papier à en-tête de C.________SA, signé par W.________ et B.________, sous la raison sociale de [...] SA, l’informant que C.________SA allait déplacer ses activités au sein des locaux de l’entreprise D.________SNC et que son contrat de travail était « maintenu aux mêmes conditions actuelles » pour autant qu’il accepte de travailler à [...].W.________ était alors seul administrateur de C.________SA. On peut donc considérer que ce courrier reflète bien la volonté de C.________SA. Si l’intimé n’a pas contresigné ce courrier pour approbation du changement de lieu de travail, il n’a pas non plus résilié les rapports de travail et de fait, il a travaillé à [...] et a été rémunéré par D.________SNC. En outre, les associés de cette dernière sont devenus, dès le 1 er juin 2010, les administrateurs de C.________SA. Dès lors, au vu de ce qui précède et à l’instar des premiers juges, il convient de retenir que le contrat de travail liant R.________ à Z.________SA a bel et bien débuté le 1 er juin 2007, en raison de la reprise du contrat conclu par C.________SA.</w:t>
      </w:r>
    </w:p>
    <w:p>
      <w:r>
        <w:rPr>
          <w:b/>
        </w:rPr>
        <w:t>E. 4.1</w:t>
      </w:r>
    </w:p>
    <w:p>
      <w:r>
        <w:t>L’appelante fait valoir qu’elle ne doit aucune prestation de salaire à R.________ en vertu de l’art. 324a al. 1 CO dans la mesure où elle a conclu une assurance-maladie collective perte de gain donnant au travailleur des droits équivalents, ce qui libère l’employeur de ses obligations (art. 324a al. 4 CO). Selon elle, le fait que cette assurance ait refusé d’indemniser le travailleur ne serait pas pertinent pour déterminer si l’employeur est libéré. Elle soutient que comme l’art. 324b CO utilise le terme de prestations « dues » par l’assurance, il y aurait lieu d’évaluer la situation abstraite et non concrète. L’intimé aurait dû contester la décision de refus de prestations de l’assurance.</w:t>
      </w:r>
    </w:p>
    <w:p>
      <w:r>
        <w:rPr>
          <w:b/>
        </w:rPr>
        <w:t>E. 4.2.1</w:t>
      </w:r>
    </w:p>
    <w:p>
      <w:r>
        <w:t>Selon l'art. 324a al. 1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(art. 324a al. 2 CO). La durée du droit au salaire pour un temps limité est ainsi fonction des années de service que le travailleur a passées auprès de son employeur. Plus cette durée est longue, plus la période du droit au salaire est élevée. Pour éviter de tomber dans l’arbitraire, les tribunaux ont fixé des échelles, à savoir les échelles bernoise, bâloise et zurichoise. A celles-ci s’ajoutent des échelles fixées par les conventions collectives de travail ou de manière conventionnelle. Les tribunaux vaudois utilisent l’échelle bernoise. Selon cette échelle, la durée du salaire dû est notamment de trois semaines durant la première année de service, d’un mois dans la deuxième année, de deux mois durant les troisième et quatrième années de service et de trois mois de la cinquième à la neuvième année de service (Wyler/Heinzer, Droit du travail, 3 e éd., 2014, pp. 233 ss ; Subilia/Duc, Droit du travail – Eléments de droit suisse, 2010, n. 32 ad art. 324a CO). L’art. 324b CO concerne le cas où le travailleur est assuré obligatoirement, en vertu d’une disposition légale. Ces normes instituent un régime légal de base, correspondant à un seuil minimal de protection auquel il n’est pas possible de déroger en défaveur du travailleur. Eu égard à la protection qu’elles confèrent, elles complèt ent le droit suisse des assurances sociales (ATF 131 III 623 consid. 2.2 et les réf. citées). L’art.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TF 4C.419/1993 du 17 novembre 1994 consid. 4, publié in SJ 1995 p. 784, et TF P.1523/1981 du 4 février 1982, publié in SJ 1982 p. 574). La dérogation au régime de base doit être convenue en la forme écrite. Mais, comme les droits minimums du salarié sont en cause, le législateur n’a pas voulu que soit reconnue une convention stipulée sous n’importe quelle forme. L’accord comportera donc clairement les points essentiels du régime conventionnel (pourcentage du salaire assuré, risques couverts, durée des prestations, modalités de financement des primes d’assurance, le cas échéant durée du délai de carence) ; il pourra toutefois renvoyer aux conditions générales de l’assurance ou à un autre document tenu à la disposition du travailleur (ATF 131 III 623 ; Aubert, Commentaire romand CO I, n. 54 ad art. 324a CO). Nonobstant l’existence d’un contrat d’assurance, il peut arriver que le droit aux prestations ne soit pas ouvert, faute de remplir les conditions contractuelles ou légales. Dans ce cas, malgré l’accord dérogatoire, le travailleur peut prétendre envers l’employeur au paiement de son salaire conformément à l’art. 324a CO, à condition que le défaut de prestation ne soit pas dû à une faute de sa part. Il est souhaitable que l’accord dérogatoire renvoie aux conditions générales d’assurance, car la plupart d’entre elles comprennent des restrictions. En l’absence d’un tel renvoi, il y a lieu de s’interroger sur les conséquences de cette lacune (Wyler/Heinzer, op. cit., p. 249). Selon ces auteurs, le simple fait qu’une assurance soit conclue signifie, selon les usages connus de tous, que la police d’assurance est assortie de conditions générales dont il n’est pas possible de faire abstraction. Il faut dès lors admettre un renvoi général et implicite aux conditions générales et donc à l’admission des clauses d’exclusion de couverture, à la condition qu’elles soient usuelles.</w:t>
      </w:r>
    </w:p>
    <w:p>
      <w:r>
        <w:rPr>
          <w:b/>
        </w:rPr>
        <w:t>E. 4.2.2</w:t>
      </w:r>
    </w:p>
    <w:p>
      <w:r>
        <w:t>L’art. 21 de l’Arrêté du 3 avril 2000 établissant un contrat-type de travail pour l’agriculture ( ACTT-agr ; RSV 222.55.1) prévoit que l’employeur doit conclure dès le 1 er janvier 2001 une assurance d’indemnités journalières en cas d’incapacité de travail pour cause de maladie en faveur du personnel engagé depuis deux mois ou pour plus de deux mois. Cette assurance doit couvrir la perte de gain en cas de maladie à 80 % pendant 720 jours (al. 1). Les prestations doivent correspondre au moins à celle de l’assurance d’indemnités journalières de la législation fédérale sur l’assurance-maladie (al. 2). L’employeur et le travailleur supportent chacun la moitié des primes (al. 3). Par la conclusion d’une assurance perte de gain en cas de maladie conclue aux conditions précitées, l’employeur est libéré des obligations légales figurant à l’art. 324a CO, y compris pendant le délai d’attente de deux jours ; si le délai d’attente est supérieur à deux jours, il est tenu de payer le 100 % du salaire dès le 3 e jour (al. 4). En cas de réserve de la part de l’assurance, l’employeur est tenu par les obligations de l’art. 324a CO (al. 5).</w:t>
      </w:r>
    </w:p>
    <w:p>
      <w:r>
        <w:rPr>
          <w:b/>
        </w:rPr>
        <w:t>E. 4.3</w:t>
      </w:r>
    </w:p>
    <w:p>
      <w:r>
        <w:t>En l’espèce, par le biais des conditions générales de l’assurance conclue par la société Z.________SA, dont cette dernière avait forcément connaissance, le travailleur ne peut prétendre à aucune prestation d’assurance lorsqu’un événement entraînant une incapacité de travail se produit pendant un congé non payé, et cela même si l’incapacité subsiste après la fin du congé non payé. Or, en l’absence de régime dérogatoire, l’employeur aurait dû payer le salaire de R.________ selon l’échelle bernoise pour les mois de mars, avril et mai 2014. En revanche, selon l’art. 21 de l’Arrêté établissant un contrat-type de travail pour l’agriculture, l’assurance doit couvrir la perte de gain en cas de maladie à 80 % pendant 720 jours avec un délai d’attente de seulement deux jours. La couverture n’est donc pas équivalente. Il s’ensuit donc que l’intimé pouvait prétendre au paiement de son salaire conformément à l’art. 324a CO. C’est dès lors à bon droit que les premiers juges ont retenu que Z.________SA devait verser l’équivalent de trois mois de salaire à R.________.</w:t>
      </w:r>
    </w:p>
    <w:p>
      <w:r>
        <w:rPr>
          <w:b/>
        </w:rPr>
        <w:t>E. 5</w:t>
      </w:r>
    </w:p>
    <w:p>
      <w:r>
        <w:t>En définitive, l’appel doit être rejeté selon le mode procédural de l’art. 312 al. 1 CPC et le jugement entrepris confirmé. S’agissant d’une cause de droit du travail dont la valeur litigieuse est inférieure à 30'000 fr., le jugement peut être rendu sans frais judiciaires de deuxième instance (art. 114 let. c CPC). Il n’y a pas lieu d’allouer des dépens,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