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304 vom 5. April 2016</w:t>
      </w:r>
    </w:p>
    <w:p>
      <w:r>
        <w:t>VD Tribunal cantonal, 2016-04-05, FR</w:t>
      </w:r>
    </w:p>
    <w:p>
      <w:r>
        <w:rPr>
          <w:b/>
        </w:rPr>
        <w:t xml:space="preserve">Quelle: </w:t>
      </w:r>
      <w:r>
        <w:t>https://mcp.opencaselaw.ch/entscheid/vd_findinfo_HC___2016___304</w:t>
      </w:r>
    </w:p>
    <w:p>
      <w:r>
        <w:t>FR: VD_FINDINFO HC / 2016 / 304 du 5 avril 2016</w:t>
      </w:r>
    </w:p>
    <w:p>
      <w:r>
        <w:t>IT: VD_FINDINFO HC / 2016 / 304 del 5 aprile 2016</w:t>
      </w:r>
    </w:p>
    <w:p>
      <w:pPr>
        <w:pStyle w:val="Heading2"/>
      </w:pPr>
      <w:r>
        <w:t>Regeste</w:t>
      </w:r>
    </w:p>
    <w:p>
      <w:r>
        <w:t>RETRAIT{VOIE DE DROIT}, TRANSACTION EXTRAJUDICIAIRE | 241 al. 3 CPC (CH), 67 al. 2 TFJC (2010)</w:t>
      </w:r>
    </w:p>
    <w:p>
      <w:pPr>
        <w:pStyle w:val="Heading2"/>
      </w:pPr>
      <w:r>
        <w:t>Volltext</w:t>
      </w:r>
    </w:p>
    <w:p>
      <w:r>
        <w:t>Vaud Tribunal cantonal Cour d'appel civile 05.04.2016 HC / 2016 / 304</w:t>
      </w:r>
    </w:p>
    <w:p>
      <w:r>
        <w:t>RETRAIT{VOIE DE DROIT}, TRANSACTION EXTRAJUDICIAIRE | 241 al. 3 CPC (CH), 67 al. 2 TFJC (2010)</w:t>
      </w:r>
    </w:p>
    <w:p>
      <w:r>
        <w:t>TRIBUNAL CANTONAL JL15.048648-160209 183 cour d’appel CIVILE _____________________________ Arrêt du 5 avril 2016 __________________ Composition :               M. Abrecht , président Mme Charif Feller et M. Perrot, juges Greffière :              Mme Saghbini ***** Art. 241 al. 3 CPC Statuant sur l’appel interjeté par D.________Sàrl , à […], défenderesse, contre l’ordonnance d’expulsion rendue le 14 janvier 2016 par la Juge de paix du district de Morges dans la cause divisant l’appelante d’avec J.________ , à […], demandeur, la Cour d’appel civile du Tribunal cantonal considère : En fait et en droit : 1. Par ordonnance du 14 janvier 2016, la Juge de paix du district de Morges a notamment ordonné l’expulsion de D.________Sàrl des locaux occupés dans l'immeuble sis [...] (local industriel, artisanal ou commercial au rez-de-chaussée supérieur) pour le vendredi 5 février 2016. Le 1 er février 2015, D.________Sàrl a interjeté appel contre cette ordonnance. Par arrêt rendu le 24 mars 2016, dont seul le dispositif a été communiqué aux parties le 29 mars 2016, la Cour de céans a admis l’appel et a statué à nouveau. 2. Par courrier du 29 mars 2016, l’appelante a déclaré retirer son appel, indiquant qu’un « accord transactionnel » avait été trouvé avec l’intimé. Il convient de prendre acte de ce retrait et de rayer la cause du rôle (art. 241 al. 3 CPC [Code de procédure civile du 19 décembre 2008 ; RS 272]). 3. Dans la mesure où l’on ignore si la question des frais a été réglée dans la convention conclue entre les parties, celle-ci n’ayant pas été produite, les frais judiciaires de deuxième instance doivent être fixés et répartis d'office (art. 105 al. 1 CPC), selon le tarif des frais cantonal (art. 96 CPC). Le retrait de l’appel valant juridiquement acquiescement, ces frais, réduits d'un tiers dès lors que l'appel a été retiré après que le dossier a circulé auprès de la Cour (art. 67 al. 2 TFJC [tarif des frais judiciaires civils du 28 septembre 2010 ; RSV 270.11.5]), seront arrêtés à 540 fr. et mis à la charge de l’appelante (art. 106 al. 1 CPC). 4. L’appelante versera en outre à l’intimé la somme de 600 fr. à titre de dépens de deuxième instance (art. 12 TDC [tarif des dépens en matière civile du 23 novembre 2010 ; RS 270.11.6]). Par ces motifs, la Cour d’appel civile prononce : I. Il est pris acte du retrait de l’appel. II. L’arrêt rendu le 24 mars 2016 par la Cour d’appel civile, dont seul le dispositif a été communiqué aux parties le 29 mars 2016, est caduc. III. Les frais judiciaires de deuxième instance, arrêtés à 540 fr. (cinq cent quarante francs), sont mis à la charge de l’appelante D.________Sàrl. IV. L’appelante D.________Sàrl versera à l’intimé J.________ la somme de 600 fr. (six cents francs) à titre de dépens de deuxième instance. V. La cause est rayée du rôle. VI. L’arrêt est exécutoire. Le président : La greffière : Du Le présent arrêt, dont la rédaction a été approuvée à huis clos, est notifié en expédition complète à : ‑ M. Mikaël Ferreiro, agent d’affaires breveté (pour D.________Sàrl), ‑ M. Pierre-Yves Zurcher, agent d’affaires breveté (pour J.________), et communiqué, par l'envoi de photocopies, à : ‑ Mme la Juge de paix du district de Morges.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