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280 vom 11. März 2016</w:t>
      </w:r>
    </w:p>
    <w:p>
      <w:r>
        <w:t>VD Tribunal cantonal, 2016-03-11, FR</w:t>
      </w:r>
    </w:p>
    <w:p>
      <w:r>
        <w:rPr>
          <w:b/>
        </w:rPr>
        <w:t xml:space="preserve">Quelle: </w:t>
      </w:r>
      <w:r>
        <w:t>https://mcp.opencaselaw.ch/entscheid/vd_findinfo_HC___2016___280</w:t>
      </w:r>
    </w:p>
    <w:p>
      <w:r>
        <w:t>FR: VD_FINDINFO HC / 2016 / 280 du 11 mars 2016</w:t>
      </w:r>
    </w:p>
    <w:p>
      <w:r>
        <w:t>IT: VD_FINDINFO HC / 2016 / 280 del 11 marzo 2016</w:t>
      </w:r>
    </w:p>
    <w:p>
      <w:pPr>
        <w:pStyle w:val="Heading2"/>
      </w:pPr>
      <w:r>
        <w:t>Regeste</w:t>
      </w:r>
    </w:p>
    <w:p>
      <w:r>
        <w:t>COMPARUTION PERSONNELLE, DISPENSE, HONORAIRES | 204 al. 3 CPC (CH), 68 al. 2 CPC (CH)</w:t>
      </w:r>
    </w:p>
    <w:p>
      <w:pPr>
        <w:pStyle w:val="Heading2"/>
      </w:pPr>
      <w:r>
        <w:t>Erwägungen</w:t>
      </w:r>
    </w:p>
    <w:p>
      <w:r>
        <w:rPr>
          <w:b/>
        </w:rPr>
        <w:t>E. 1</w:t>
      </w:r>
    </w:p>
    <w:p>
      <w:r>
        <w:t>Le recours est ouvert contre la décision, à caractère final, de la première juge qui a statué à l'issue de la procédure de conciliation, conformément à l'art. 212 al. 1 CPC (Code de procédure civile du 19 décembre 2008; RS 272), dans une cause dont la valeur litigieuse ne dépasse pas 2'000 francs (art. 308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Bâle 2013, n. 26 ad art. 319 CPC, p. 1811).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 Aux termes de l’art. 326 al. 1 CPC, les conclusions, les allégations de faits et les preuves nouvelles sont irrecevables.</w:t>
      </w:r>
    </w:p>
    <w:p>
      <w:r>
        <w:rPr>
          <w:b/>
        </w:rPr>
        <w:t>E. 3</w:t>
      </w:r>
    </w:p>
    <w:p>
      <w:r>
        <w:t>Dans un premier grief, le recourant soulève la question de l'absence de comparution personnelle du demandeur à l'audience de conciliation et invoque l'incapacité de le représenter de l'avocate-stagiaire s'étant présentée en lieu et place.</w:t>
      </w:r>
    </w:p>
    <w:p>
      <w:r>
        <w:rPr>
          <w:b/>
        </w:rPr>
        <w:t>E. 3.1</w:t>
      </w:r>
    </w:p>
    <w:p>
      <w:r>
        <w:t>L'art. 204 al. 1 CPC exige la comparution personnelle des parties à l'audience de conciliation. En cas de défaut de comparution de la partie demanderesse, l'art. 206 al. 1 CPC prévoit expressément que la requête est considérée comme retirée et la cause rayée du rôle. L'autorisation de procéder délivrée à l'issue d'une audience de conciliation lors de laquelle la partie demanderesse n'a pas comparu valablement, faute de représentation valable notamment, est nulle, ce qui doit conduire le juge ultérieurement saisi d'une demande au fond à ne pas entrer en matière sur la demande (ATF 140 III 70 consid. 5). Cela étant, l'art. 204 CPC prévoit expressément qu'il peut être fait exception à l'obligation de comparaître personnellement à l'audience de conciliation, notamment lorsque se fait représenter la personne domiciliée en dehors du canton (art. 204 al. 3 let. a CPC).</w:t>
      </w:r>
    </w:p>
    <w:p>
      <w:r>
        <w:rPr>
          <w:b/>
        </w:rPr>
        <w:t>E. 3.2</w:t>
      </w:r>
    </w:p>
    <w:p>
      <w:r>
        <w:t>En l’espèce, il ressort du procès-verbal de l'audience de conciliation du 15 octobre 2015 que la dispense de comparution personnelle de l’intimé a été accordée sur le siège sans que le recourant ne s'y soit opposé, de sorte que le moyen invoqué en deuxième instance apparaît nouveau, partant irrecevable en application de l'art. 326 al. 1 CPC. À supposer recevable, le moyen devrait être rejeté pour les motifs suivants. L’intimé est domicilié à [...], soit en dehors du canton de Vaud. Il lui était dès lors loisible de se faire représenter à l'audience de conciliation, ce qu'il a fait en la personne de son avocate-stagiaire, Me B.________, selon le procès-verbal de l'audience de conciliation du 15 octobre 2015. À teneur de l'art. 68 al. 2 let. a CPC, les avocats sont autorisés à pratiquer la représentation professionnelle devant les tribunaux suisses dans toutes les procédures en vertu de la loi fédérale sur la libre circulation des avocats (LLCA ; RS 935.61). Il en va de même des avocats-stagiaires, sous la responsabilité de leur maître de stage (art. 28 al. 1 LPAv-VD ; RSV 177.11; art. 32 et 33 LPAv-GE, RSG E 6 10 ; Bohnet, CPC commenté, Bâle 2011, n. 15 ad art. 68 CPC). Il résulte de ce qui précède que Me B.________ était autorisée à représenter le demandeur et intimé K.________, domicilié hors canton, à l'audience de conciliation du 15 octobre 2015. Le grief est infondé.</w:t>
      </w:r>
    </w:p>
    <w:p>
      <w:r>
        <w:rPr>
          <w:b/>
        </w:rPr>
        <w:t>E. 4</w:t>
      </w:r>
    </w:p>
    <w:p>
      <w:r>
        <w:t>Dans un second grief, le recourant fait valoir que ce n'est pas l'avocat demandeur K.________ qui a œuvré dans le cadre de son dossier, mais un avocat-stagiaire, sans autre développement.</w:t>
      </w:r>
    </w:p>
    <w:p>
      <w:r>
        <w:rPr>
          <w:b/>
        </w:rPr>
        <w:t>E. 4.1</w:t>
      </w:r>
    </w:p>
    <w:p>
      <w:r>
        <w:t>Le recours, écrit et motivé, doit être introduit auprès de l’instance de recours (art. 321 CPC).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4A_659/2011 du 7 décembre 2011 consid. 3 et 4, in RSPC 2012 p. 128 = SJ 2012 I 231 ; TF 5A_438/2012 du 27 août 2012 consid. 2.2, in RSPC 2013 p. 29 ;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L'instance de recours doit pouvoir comprendre ce qui est reproché au premier juge sans avoir à rechercher des griefs par elle-même, ce qui exige une certaine précision quant à l'énoncé et à la discussion des griefs (Jeandin, op. cit., n. 3 ad art. 311 CPC et n. 4 ad art. 321 CPC ; CREC  23 août 2011/143 ; CREC 11 mai 2012/173). À défaut de motivation suffisante, le recours est irrecevable (TF 4A_651/2012 du 7 février 2013 consid. 4.2 ; TF 4A_101/2014 du 26 juin 2014 consid. 3.3).</w:t>
      </w:r>
    </w:p>
    <w:p>
      <w:r>
        <w:rPr>
          <w:b/>
        </w:rPr>
        <w:t>E. 4.2</w:t>
      </w:r>
    </w:p>
    <w:p>
      <w:r>
        <w:t>Outre que le recourant ne précise pas quelle conclusion l'autorité de recours devrait tirer de ce que ce n’est pas l’avocat K.________ mais un avocat stagiaire qui aurait œuvré dans son dossier, il faut constater qu'il ne remet pas en cause le raisonnement de la première juge. En effet, il se borne à opposer sa propre version des faits à celle retenue dans la décision critiquée, ce qui ne constitue pas une motivation recevable. À supposer recevable, le grief devrait être rejeté, la première juge ayant relevé à juste titre que, contrairement à ce que prétend le recourant, il n'apparaît pas qu'un avocat-stagiaire aurait œuvré dans le dossier en lieu et place de l'avocat demandeur, toutes les pièces dudit dossier produites à l'appui des honoraires litigieux étant signées de ce dernier.</w:t>
      </w:r>
    </w:p>
    <w:p>
      <w:r>
        <w:rPr>
          <w:b/>
        </w:rPr>
        <w:t>E. 5</w:t>
      </w:r>
    </w:p>
    <w:p>
      <w:r>
        <w:t>En définitive, le recours doit être rejeté dans la mesure où il est recevable, selon le mode procédural de l’art. 322 al. 1 CPC, et le jugement entrepris confirmé. Les frais judiciaires de deuxième instance, arrêtés à 100 fr. (art. 69 al. 3 TFJC [tarif des frais judiciaires civils du 28 septembre 2010 ; RSV 270.11.5]), sont mis à la charge du recourant, qui succombe (art. 106 al. 1 CPC). Il n'y a pas lieu à l'allocation de dépens, l'intimé n'ayant pas été invité à se déterminer. Par ces motifs, la Chambre des recours civile du Tribunal cantonal, en application de l'art. 322 al. 1 CPC, prononce : I. Le recours est rejeté dans la mesure où il est recevable. II. Le jugement est confirmé. III. Les frais judiciaires de deuxième instance, arrêtés à 100 fr. (cent francs), sont mis à la charge du recourant H.________. IV. L’arrêt motivé est exécutoire. Le président :               La greffière : Du 14 mars 2016 Le dispositif de l'arrêt qui précède est communiqué par écrit aux intéressés. La greffière : Du L'arrêt qui précède, dont la rédaction a été approuvée à huis clos, est notifié en expédition complète, par l'envoi de photocopies, à : ‑ M. H.________, ‑ Me K.________. La Chambre des recours civile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