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277 vom 8. März 2016</w:t>
      </w:r>
    </w:p>
    <w:p>
      <w:r>
        <w:t>VD Tribunal cantonal, 2016-03-08, FR</w:t>
      </w:r>
    </w:p>
    <w:p>
      <w:r>
        <w:rPr>
          <w:b/>
        </w:rPr>
        <w:t xml:space="preserve">Quelle: </w:t>
      </w:r>
      <w:r>
        <w:t>https://mcp.opencaselaw.ch/entscheid/vd_findinfo_HC___2016___277</w:t>
      </w:r>
    </w:p>
    <w:p>
      <w:r>
        <w:t>FR: VD_FINDINFO HC / 2016 / 277 du 8 mars 2016</w:t>
      </w:r>
    </w:p>
    <w:p>
      <w:r>
        <w:t>IT: VD_FINDINFO HC / 2016 / 277 del 8 marzo 2016</w:t>
      </w:r>
    </w:p>
    <w:p>
      <w:pPr>
        <w:pStyle w:val="Heading2"/>
      </w:pPr>
      <w:r>
        <w:t>Regeste</w:t>
      </w:r>
    </w:p>
    <w:p>
      <w:r>
        <w:t>FRAIS JUDICIAIRES, EXPULSION DE LOCATAIRE, EXÉCUTION FORCÉE | 110 CPC (CH)</w:t>
      </w:r>
    </w:p>
    <w:p>
      <w:pPr>
        <w:pStyle w:val="Heading2"/>
      </w:pPr>
      <w:r>
        <w:t>Erwägungen</w:t>
      </w:r>
    </w:p>
    <w:p>
      <w:r>
        <w:rPr>
          <w:b/>
        </w:rPr>
        <w:t>E. 1</w:t>
      </w:r>
    </w:p>
    <w:p>
      <w:r>
        <w:t>Selon l’art. 319 let. b ch. 1 CPC (Code de procédure civile du 19 décembre 2008 ; RS 272), le recours est recevable dans les cas prévus par la loi. L’art. 110 CPC ouvre la voie du recours séparé de l’art. 319 let. b ch. 1 CPC contre la décision sur les frais (Tappy, CPC Commenté, Bâle 2011, n. 3 ad art. 110 CPC). Le recours, écrit et motivé, est introduit auprès de l’instance de recours, soit en l’occurrence la Chambre des recours civile (art. 73 al. 1 LOJV [loi d’organisation judiciaire du 12 décembre 1979 ; RSV 173.01]). Selon l’art. 339 al. 2 CPC, la procédure sommaire est applicable aux mesures d’exécution au sens des art. 335 ss CPC, de sorte que le délai pour l'introduction d'un recours est de dix jours à compter de la notification de la décision. En l’espèce, interjeté en temps utile par une partie qui y a un intérêt digne de protection (art. 59 al. 2 let. a CPC) auprès de l’autorité compétente, le recours est recevable sous cet angle. En revanche, les conclusions IV à VII prises par le recourant dans son acte du 17 février 2016, qui portent sur le fond du litige, sont irrecevables, dans la mesure où la conclusion IV a déjà fait l’objet d’une décision entrée en force (art. 59 al. 2 let. e CPC) et où les conclusions V à VII ne peuvent être invoquées pour la première fois au stade du recours (art. 326 al. 1 CPC).</w:t>
      </w:r>
    </w:p>
    <w:p>
      <w:r>
        <w:rPr>
          <w:b/>
        </w:rPr>
        <w:t>E. 2</w:t>
      </w:r>
    </w:p>
    <w:p>
      <w:r>
        <w:t>Le recourant conteste la mise à sa charge des frais de l’expulsion forcée estimant qu’il appartient à la bailleresse de les assumer. A l’appui de cette conclusion, il ne fait toutefois valoir que des contestations confuses des décisions judiciaires ayant abouti à son expulsion et il ne formule aucune critique spécifique aux frais pris en compte et aux dépens alloués. 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 Droese, in Basler Kommentar, Schweizerische Zivilprozessordnung, 2 e éd., Bâle 2013, nn. 18 et 19 ad art. 339 CPC, p. 1899), ainsi que les frais de déménageur et de serrurier (CREC 6 décembre 2011/237). Les frais de la procédure d’exécution sont à la charge de la partie succombante (art. 106 al. 1 CPC ; Jeandin, CPC Commenté, Bâle 2011, nn. 16 et 18 ad art. 343 CPC, p. 1340) ; en ordonnant des mesures d’exécution forcée, le tribunal de l’exécution peut toutefois exiger du créancier qu’il avance les frais présumés (art. 98 CPC ; Jeandin, ibidem ; CREC 6 décembre 2011/237). En l’espèce, le recourant n’établit pas que l’exécution forcée n’était pas nécessaire, sur le principe, ni que les frais intervenus du serrurier et du déménageur, attestés par factures produites au dossier, étaient injustifiés. Il n’avance pas davantage d’arguments à l’égard des dépens auxquels il a été condamné, sa partie adverse ayant eu recours aux services d’un représentant professionnel dans le cadre de l’exécution forcée. En conclusion, le recours doit être rejeté selon le mode procédural de l’art 322 al. 1 CPC et la décision entreprise confirmée.</w:t>
      </w:r>
    </w:p>
    <w:p>
      <w:r>
        <w:rPr>
          <w:b/>
        </w:rPr>
        <w:t>E. 3</w:t>
      </w:r>
    </w:p>
    <w:p>
      <w:r>
        <w:t>Les frais judiciaires de deuxième instance, arrêtés à 400 fr. (art. 69 al. 1 TFJC [tarif des frais judiciaires civils du 28 septembre 2010; RSV 270.11.5]), sont mis à la charge du recourant qui succombe (art. 106 al. 1 CPC). Il n’y a pas matière à l’allocation de dépens, l’intimée n’ayant pas été invitée à se déterminer sur le recours. Par ces motifs, la Chambre des recours civile du Tribunal cantonal, en application de l'art. 322 al. 1 CPC, prononce : I. Le recours est rejeté. II. Le prononcé est confirmé. III. Les frais judiciaires de deuxième instance, arrêtés à 400 fr. (quatre cents francs), sont mis à la charge du recourant W.________. IV. L’arrêt motivé est exécutoire. Le président :               La greffière : Du 9 mars 2016 Le dispositif de l'arrêt qui précède est communiqué par écrit aux intéressés. La greffière : Du L'arrêt qui précède, dont la rédaction a été approuvée à huis clos, est notifié en expédition complète, par l'envoi de photocopies, à : ‑ M. W.________, ‑ Mme Martine Schlaeppi, aab, (pour C.________).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