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274 vom 16. März 2016</w:t>
      </w:r>
    </w:p>
    <w:p>
      <w:r>
        <w:t>VD Tribunal cantonal, 2016-03-16, FR</w:t>
      </w:r>
    </w:p>
    <w:p>
      <w:r>
        <w:rPr>
          <w:b/>
        </w:rPr>
        <w:t xml:space="preserve">Quelle: </w:t>
      </w:r>
      <w:r>
        <w:t>https://mcp.opencaselaw.ch/entscheid/vd_findinfo_HC___2016___274</w:t>
      </w:r>
    </w:p>
    <w:p>
      <w:r>
        <w:t>FR: VD_FINDINFO HC / 2016 / 274 du 16 mars 2016</w:t>
      </w:r>
    </w:p>
    <w:p>
      <w:r>
        <w:t>IT: VD_FINDINFO HC / 2016 / 274 del 16 marzo 2016</w:t>
      </w:r>
    </w:p>
    <w:p>
      <w:pPr>
        <w:pStyle w:val="Heading2"/>
      </w:pPr>
      <w:r>
        <w:t>Regeste</w:t>
      </w:r>
    </w:p>
    <w:p>
      <w:r>
        <w:t>DÉTENTION AUX FINS D'EXPULSION, MESURE DE CONTRAINTE{DROIT DES ÉTRANGERS}, ATTEINTE À LA SANTÉ, RÈGLEMENT DUBLIN, RENVOI{DROIT DES ÉTRANGERS} | 76a LEtr, 80a al. 7 LEtr, 80a LEtr</w:t>
      </w:r>
    </w:p>
    <w:p>
      <w:pPr>
        <w:pStyle w:val="Heading2"/>
      </w:pPr>
      <w:r>
        <w:t>Erwägungen</w:t>
      </w:r>
    </w:p>
    <w:p>
      <w:r>
        <w:rPr>
          <w:b/>
        </w:rPr>
        <w:t>E. 1</w:t>
      </w:r>
    </w:p>
    <w:p>
      <w:r>
        <w:t>LEtr ; art. 30 LVLEtr).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Le délai de recours est de dix jours (art. 30 al. 2 LVLEtr). Interjeté en temps utile, par le recourant, qui y a un intérêt, le recours est recevable.</w:t>
      </w:r>
    </w:p>
    <w:p>
      <w:r>
        <w:rPr>
          <w:b/>
        </w:rPr>
        <w:t>E. 2.1</w:t>
      </w:r>
    </w:p>
    <w:p>
      <w:r>
        <w:t>Le Juge de Paix du district de Lausanne est l’autorité compétente en vertu des art. 17 et 20 LVLEtr. Saisi d’une requête motivée et documentée du SPOP du 17 février 2016, ce magistrat a procédé à l'audition du recourant le même jour. Le recourant a été entendu et ses déclarations ont été résumées au procès-verbal dans ce qu'elles avaient d'utiles (art. 21 al. 1 et 2 LVLEtr). Le premier juge s’est prononcé dans un délai de huit jours ouvrables selon l’art. 80a al. 4 LEtr, nouvelle disposition applicable pour les procédures Dublin et entrée en vigueur le 1 er juillet 2015. La procédure suivie a ainsi été régulière, ce que le recourant ne conteste par ailleurs pas.</w:t>
      </w:r>
    </w:p>
    <w:p>
      <w:r>
        <w:rPr>
          <w:b/>
        </w:rPr>
        <w:t>E. 2.2</w:t>
      </w:r>
    </w:p>
    <w:p>
      <w:r>
        <w:t>La Chambre des recours civile revoit librement la décision de première instance. Elle établit les faits d’office et peut ordonner à cet effet toutes les mesures d’instruction qu’elle juge utiles (art. 31 aI. 1 et 3 LVLEtr). Elle peut en particulier tenir compte des faits postérieurs à la décision attaquée (CREC 25 septembre 2015/346).</w:t>
      </w:r>
    </w:p>
    <w:p>
      <w:r>
        <w:rPr>
          <w:b/>
        </w:rPr>
        <w:t>E. 3</w:t>
      </w:r>
    </w:p>
    <w:p>
      <w:r>
        <w:t>et 4 LEtr, dont la teneur est similaire, considère qu’il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consid. 3.1 ; TF 2C_984/2010 du 20 janvier 2011 consid. 2 ; TF 2C_206/2009 du 29 avril 2009 consid. 4.1).</w:t>
      </w:r>
    </w:p>
    <w:p>
      <w:r>
        <w:rPr>
          <w:b/>
        </w:rPr>
        <w:t>E. 3.1</w:t>
      </w:r>
    </w:p>
    <w:p>
      <w:r>
        <w:t>Le recourant invoque une violation des art. 5 par. 1 et 8 CEDH (Convention du 4 novembre 1950 de sauvegarde des droits de l’homme et des libertés fondamentales ; RS 0.101). Il conteste notamment que la détention soit justifiée, respectivement proportionnée, au motif qu’il ne présenterait aucun risque de soustraction à l’action des autorités, ni de fuite du territoire suisse, invoquant sa volonté de soigner sa toxicomanie en Suisse. Il conteste également son refus de collaborer au renvoi, faisant valoir que la détention serait incompatible avec la prise en charge médicale nécessaire et qu’un renvoi en Italie, où aucun traitement pour soigner sa toxicomanie ne lui aurait été fourni, ne ferait qu’aggraver cet état de fait au point de mettre gravement sa vie en danger.</w:t>
      </w:r>
    </w:p>
    <w:p>
      <w:r>
        <w:rPr>
          <w:b/>
        </w:rPr>
        <w:t>E. 3.2.1</w:t>
      </w:r>
    </w:p>
    <w:p>
      <w:r>
        <w:t>Aux termes de l’art. 76a LEtr – RO 2015 1841 ; FF 2014 2587 – entré en vigueur le 1 er juillet 2015 afin d'assurer son renvoi dans l'Etat Dublin responsable, l'autorité compétente peut mettre l'étranger en détention sur la base d'une évaluation individuelle, lorsque des éléments concrets font craindre que l'étranger concerné n'entende se soustraire au renvoi (al. 1 let. a) ; la détention est proportionnée (al. 1 let. b) ; d'autres mesures moins coercitives ne peuvent être appliquées de manière efficace (al. 1 let. c). L’alinéa 2 de la disposition précitée définit les critères relatifs au risque de passage à la clandestinité (cf. let. a à i). Il s’agit là d’indices concrets relevés au cas par cas justifiant de craindre que la personne concernée n’entende se soustraire à l’exécution du renvoi. Ces critères s’apparentent aux motifs déjà existants de détention en phase préparatoire ou de détention en vue du renvoi définis aux art. 75 et 76 LEtr (Message du Conseil fédéral du 7 mars 2014 relatif à l’approbation et à la mise en œuvre des échanges de notes entre la Suisse et l’UE concernant la reprise des règlements (UE) no 603/2013 et no 604/2013 [Développements de l’acquis de Dublin/Eurodac], FF 2014 2614). Les éléments concrets suivants font craindre que l'étranger entend se soustraire à l'exécution du renvoi : dans le cadre de la procédure d'asile ou de renvoi, l'étranger n'observe pas les instructions des autorités, notamment en refusant de décliner son identité, enfreignant ainsi l'obligation de collaborer visée à l'art. 8 al. 1 let. a, LAsi (loi fédérale sur l’asile du 26 juin 1998 ; RS 142.31), ou ne donne pas suite à une convocation, à réitérées reprises et sans raisons valables (al. 2 let. a) ; son comportement en Suisse ou à l'étranger permet de conclure qu'il refuse d'obtempérer aux instructions des autorités (al. 2 let. b) ; il dépose plusieurs demandes d'asile sous des identités différentes (al. 2 let. c) ; il quitte la région qui lui est assignée ou pénètre dans une zone qui lui est interdite en vertu de l'art. 74 (al. 2 let. d) ; il franchit la frontière malgré une interdiction d'entrer en Suisse et ne peut pas être renvoyé immédiatement (al. 2 let. e) ; il séjourne illégalement en Suisse et y dépose une demande d'asile dans le but manifeste d'empêcher l'exécution d'un renvoi (al. 2 let. f) ; il menace sérieusement d'autres personnes ou met gravement en danger leur vie ou leur intégrité corporelle et fait l'objet d'une poursuite pénale ou a été condamné pour ce motif (al. 2 let. g) ; il a été condamné pour crime (al. 2 let. h) ; il nie, face à l'autorité compétente, posséder ou avoir possédé un titre de séjour ou un visa délivré par un Etat Dublin ou y avoir déposé une demande d'asile (al. 2 let. i). A compter du moment où la détention a été ordonnée, l'étranger peut être placé ou maintenu en détention pour une durée maximale de sept semaines pendant la préparation de la décision relative à la responsabilité du traitement de la demande d'asile ; les démarches y afférentes comprennent l'établissement de la demande de reprise en charge adressée à un autre Etat Dublin, le délai d'attente de la réponse à la demande ou de son acceptation tacite, la rédaction de la décision et sa notification (al. 3 let. a) ; cinq semaines pendant la procédure prévue à l'art. 5 du règlement (CE) no 1560/2003 (al. 3 let. b) ; six semaines pour assurer l'exécution du renvoi entre la notification de la décision de renvoi ou d'expulsion ou après l'expiration de l'effet suspensif d'une éventuelle voie de droit saisie contre une décision de renvoi ou d'expulsion rendue en première instance et le transfert de l'étranger dans l'Etat Dublin responsable (al. 3 let. c). En ce qui concerne le risque de fuite induit par les comportements décrits à l’art. 76a al. 2 let. a et b LEtr, la jurisprudence rendue en application de l’art. 76 al. 1 let. b ch.</w:t>
      </w:r>
    </w:p>
    <w:p>
      <w:r>
        <w:rPr>
          <w:b/>
        </w:rPr>
        <w:t>E. 3.2.2</w:t>
      </w:r>
    </w:p>
    <w:p>
      <w:r>
        <w:t>Selon l’art. 80a al. 7 LEtr, entré en vigueur le 1 er juillet 2015, la détention est levée dans les cas suivants : lorsque le motif de la détention n’existe plus ou l’exécution du renvoi ou de l’expulsion s’avère impossible pour des raisons juridiques ou matérielles (let. a) ; la demande de levée de la détention est admise (let. b) ou la personne détenue doit subir une peine ou une mesure privative de liberté (let. c). L’alinéa 8 prévoit que lorsqu'elle examine la décision de détention, de maintien ou de levée de celle-ci, l'autorité judiciaire tient compte de la situation familiale de la personne détenue et des conditions d'exécution de la détention.</w:t>
      </w:r>
    </w:p>
    <w:p>
      <w:r>
        <w:rPr>
          <w:b/>
        </w:rPr>
        <w:t>E. 3.3</w:t>
      </w:r>
    </w:p>
    <w:p>
      <w:r>
        <w:t>En l’espèce, le recourant a déjà été renvoyé en Italie à cinq reprises. Cela ne l’a pas dissuadé de revenir en Suisse malgré qu’une interdiction d’entrée lui ait été valablement notifiée. Le SPOP l’avait en outre dûment averti qu’il s’exposait à des mesures de contrainte s’il ne collaborait pas ; ce nonobstant, il est passé dans la clandestinité, contraignant l’autorité à le signaler en vue de son interpellation. Le 8 mars 2016, il a refusé d’embarquer sur un vol à destination de Rome, prévu à son intention. Enfin, il a déclaré à de nombreuses reprises son opposition au renvoi et sa volonté de ne pas collaborer. A cet égard, la volonté du recourant invoquée à l’audience du 17 février 2016 de collaborer au renvoi dans son pays d’origine dès qu’il aura été soigné de sa toxicomanie s’assimile à un vœu pieux compte tenu de son parcours de délinquant dans le domaine des stupéfiants, y compris durant les années 2015 et 2016 alors qu’il était supposé être efficacement pris en charge par un traitement de substitution à la méthadone. Au vu de ce qui précède, il convient d’admettre que les conditions de l’art. 76a al. 2 let. a, b, d et e LEtr sont remplies et fondent la mise en détention contestée.</w:t>
      </w:r>
    </w:p>
    <w:p>
      <w:r>
        <w:rPr>
          <w:b/>
        </w:rPr>
        <w:t>E. 4.1</w:t>
      </w:r>
    </w:p>
    <w:p>
      <w:r>
        <w:t>Le recourant fait valoir que son état de santé s’oppose à son renvoi en Tunisie. Ce motif correspond à celui prévu à l’art. 80 al. 6 LEtr, de sorte qu’il convient de se référer à la jurisprudence y relative.</w:t>
      </w:r>
    </w:p>
    <w:p>
      <w:r>
        <w:rPr>
          <w:b/>
        </w:rPr>
        <w:t>E. 4.2</w:t>
      </w:r>
    </w:p>
    <w:p>
      <w:r>
        <w:t>Selon cette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consid. 2.2.2 ; TF 2C_256/2013 du 10 avril 2013 consid. 4.5 ; TF 2C_35/2009 du 13 février 2009 consid. 6.2 ; TF 2C_445/2007 du 30 octobre 2007 consid. 4.2 ; TF 2A_47/2007 du 18 avril 2007 consid. 2.3). La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(TF 2C_206/2014 du 4 mars 2014 consid. 3 et les réf. citées). On admettra exceptionnellement que l’exécution du renvoi est impossible : par exemple dans le cas d’un malade intransportable, lorsque l’Etat d’origine refuse de façon claire et durable de reprendre son ressortissant ou en cas d’interruption générale des expulsions vers un pays en particulier (Göksu, Bundesgesetz über die Ausländerinnen und Ausländer, Berne 2010, n. 21 ad art. 80 LEtr). La jurisprudence de la Cour européenne des droits de l’Homme n’admet l’exclusion du renvoi de personnes même sévèrement malades que dans des cas exceptionnels, telle la situation de malades en phase terminale ne jouissant d’aucun accès à une prise en charge médicale ni à la fourniture d’une assistance de base dans le pays de destination (CECHR A.S. c. Switzerland, n°39350/13 du 30 juin 2015, § 25 ss et les références citées.</w:t>
      </w:r>
    </w:p>
    <w:p>
      <w:r>
        <w:rPr>
          <w:b/>
        </w:rPr>
        <w:t>E. 4.3</w:t>
      </w:r>
    </w:p>
    <w:p>
      <w:r>
        <w:t>En l’espèce, le recourant a fait l’objet d’une décision de renvoi qui est définitive et exécutoire et qui lie donc l’autorité de céans. En particulier, dite décision a examiné le cas du recourant sous l’angle de sa situation personnelle, y compris son état de santé. Il a été retenu que l’Italie était soumise à la Directive 2013/33/UE du Parlement européen, laquelle garantissait de nombreuses normes minimales pour la prise en charge et l’encadrement des requérants d’asile, y compris sur le plan de la santé, de sorte qu’il incombait au recourant de revendiquer dans ce pays les prestations dont il souhaitait bénéficier, ce que la jurisprudence récente rendue en application de l’art. 3 CEDH (arrêt A.S. c. Switzerland du 30 juin 2015, précité) confirme. Le recourant n’invoque par ailleurs pas le fait qu’il serait dans l’impossibilité d’être transporté en raison de son état, au sens de la doctrine précitée (cf. consid. 4.2 supra). Pour le surplus, ainsi que cela a déjà été souligné, l’efficacité de la prescription de méthadone dont le recourant dit avoir bénéficié en Suisse est sujette à caution au vu de son récent comportement. Enfin, il ne peut invoquer aucun motif exceptionnel tenant à sa situation familiale. Le grief doit donc être rejeté, la détention étant toujours justifiée sous l’angle de l’art. 80a al. 7 et 8 LEtr.</w:t>
      </w:r>
    </w:p>
    <w:p>
      <w:r>
        <w:rPr>
          <w:b/>
        </w:rPr>
        <w:t>E. 5.1</w:t>
      </w:r>
    </w:p>
    <w:p>
      <w:r>
        <w:t>Subsidiairement, le recourant invoque devoir bénéficier de mesures de substitution en lieu et place de la détention.</w:t>
      </w:r>
    </w:p>
    <w:p>
      <w:r>
        <w:rPr>
          <w:b/>
        </w:rPr>
        <w:t>E. 5.2</w:t>
      </w:r>
    </w:p>
    <w:p>
      <w:r>
        <w:t>Aux termes de l’art. 74 al. 1 let. b LEtr, l’autorité cantonale compétente peut enjoindre à un étranger de ne pas quitter le territoire qui lui est assigné ou de ne pas pénétrer dans une région déterminée lorsque cet étranger est frappé d’une décision de renvoi ou d’expulsion entrée en force et que des éléments concrets font redouter qu’il ne quittera pas la Suisse dans le délai prescrit ou qu’il n’a pas respecté le délai qui lui était imparti pour quitter le territoire. En matière de restrictions aux libertés, le principe de la proportionnalité exige un rapport raisonnable entre le but d’intérêt public visé, le moyen choisi pour l’atteindre et la liberté impliquée (Auer/Malinverni/Hottelier, Droit constitutionnel suisse, volume II : Les droits fondamentaux, 2 e éd., 2006, n. 26, p. 107). En vertu de la règle de nécessité déduite de ce principe, la mesure restrictive en cause ne doit pas seulement s’avérer apte à produire le résultat escompté, mais doit encore être la seule à même de le faire, à l’exclusion d’autres, plus respectueuses des libertés, qui seraient aussi efficaces (Auer et al., op. cit., n. 232, pp. 209-210).</w:t>
      </w:r>
    </w:p>
    <w:p>
      <w:r>
        <w:rPr>
          <w:b/>
        </w:rPr>
        <w:t>E. 5.3</w:t>
      </w:r>
    </w:p>
    <w:p>
      <w:r>
        <w:t>En l’occurrence, il n’y a pas lieu d’entrer en matière sur la mesure d’assignation à résidence ou d’interdiction de périmètre proposée à titre subsidiaire comme alternative à la détention. En effet, ces mesures apparaissent insuffisantes pour prévenir le risque concret que le recourant ne se soustraie à nouveau à son renvoi. Pour le surplus, l’art. 74 al. 1 let. b LEtr vise notamment l’hypothèse d’un étranger frappé d’une décision exécutoire de renvoi ou d’expulsion qui n’a pas respecté le délai imparti pour quitter le territoire, alors que la détention en vue du renvoi ou de l’expulsion prévue à l’art. 76a LEtr vise l’hypothèse distincte de l’exécution proprement dite du renvoi à bref délai, telle le cas d’espèce.</w:t>
      </w:r>
    </w:p>
    <w:p>
      <w:r>
        <w:rPr>
          <w:b/>
        </w:rPr>
        <w:t>E. 6</w:t>
      </w:r>
    </w:p>
    <w:p>
      <w:r>
        <w:t>S’agissant de la proportionnalité de la détention, elle est respectée dès lors que le renvoi du recourant apparaît exécutable à bref délai, étant rappelé que le SPOP a communiqué avoir le 9 mars dernier entrepris de nouvelles démarches pour inscrire le recourant sur un vol à destination de l’Italie. En outre, la durée de la détention prononcée est conforme à la durée maximale prévue à l’art. 76a al. 3 let. c LEtr, soit six semaines.</w:t>
      </w:r>
    </w:p>
    <w:p>
      <w:r>
        <w:rPr>
          <w:b/>
        </w:rPr>
        <w:t>E. 7</w:t>
      </w:r>
    </w:p>
    <w:p>
      <w:r>
        <w:t>En définitive, le recours doit être rejeté et l’ordonnance entreprise confirmée. L’arrêt peut être rendu sans frais (art. 50 LPA-VD). Selon l’art. 25 al. 1 LVLEtr, lorsque la personne détenue est indigente, le conseil d’office reçoit une indemnité à la charge de l’Etat, les dispositions relatives à la rémunération des défenseurs d’office en matière pénale étant applicables. En sa qualité de conseil d’office du recourant, Me Cinzia Petito doit se voir allouer une indemnité qui peut être arrêtée sur la base de la liste de ses opérations produite le 3 mars 2016, sous réserve de ce que les débours sont arrêtés à 10 fr. pour les envois et les téléphones, les frais de photocopies ainsi que d’ouverture du dossier étant des frais courants, compris dans le tarif horaire forfaitaire (CREC 14 novembre 2013/377). En définitive, l’indemnité d'office due à Me Cinzia Petito doit être arrêtée à 885 fr., montant arrondi, débours et TVA compris. Par ces motifs, la Chambre des recours civile du Tribunal cantonal, prononce : I. Le recours est rejeté. II. L’ordonnance est confirmée. III. L’arrêt est rendu sans frais. IV. L’indemnité d’office de Me Cinzia Petito est arrêtée à 885 fr. (huit cent huitante-cinq francs), montant arrondi, débours et TVA compris. V. L’arrêt motivé est exécutoire. Le président :               La greffière : Du 16 mars 2016 Le dispositif de l'arrêt qui précède est communiqué par écrit aux intéressés. La greffière : Du L'arrêt qui précède, dont la rédaction a été approuvée à huis clos, est notifié en expédition complète, par l'envoi de photocopies, à : ‑ Me Cinzia Petito (pour E.________), ‑ Service de la population, Secteur juridique.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