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270 vom 2. März 2016</w:t>
      </w:r>
    </w:p>
    <w:p>
      <w:r>
        <w:t>VD Tribunal cantonal, 2016-03-02, FR</w:t>
      </w:r>
    </w:p>
    <w:p>
      <w:r>
        <w:rPr>
          <w:b/>
        </w:rPr>
        <w:t xml:space="preserve">Quelle: </w:t>
      </w:r>
      <w:r>
        <w:t>https://mcp.opencaselaw.ch/entscheid/vd_findinfo_HC___2016___270</w:t>
      </w:r>
    </w:p>
    <w:p>
      <w:r>
        <w:t>FR: VD_FINDINFO HC / 2016 / 270 du 2 mars 2016</w:t>
      </w:r>
    </w:p>
    <w:p>
      <w:r>
        <w:t>IT: VD_FINDINFO HC / 2016 / 270 del 2 marzo 2016</w:t>
      </w:r>
    </w:p>
    <w:p>
      <w:pPr>
        <w:pStyle w:val="Heading2"/>
      </w:pPr>
      <w:r>
        <w:t>Regeste</w:t>
      </w:r>
    </w:p>
    <w:p>
      <w:r>
        <w:t>SÛRETÉS, INSOLVABILITÉ, CONCORDAT{LP} | 99 al. 1 let. b CPC (CH), 99 al. 1 CPC (CH), 99 al. 1 let. d CPC (CH), 99 CPC (CH)</w:t>
      </w:r>
    </w:p>
    <w:p>
      <w:pPr>
        <w:pStyle w:val="Heading2"/>
      </w:pPr>
      <w:r>
        <w:t>Erwägungen</w:t>
      </w:r>
    </w:p>
    <w:p>
      <w:r>
        <w:rPr>
          <w:b/>
        </w:rPr>
        <w:t>E. 1</w:t>
      </w:r>
    </w:p>
    <w:p>
      <w:r>
        <w:t>Selon l’art. 319 let. b CPC,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RSV 173.01]). Déposé en temps utile par une partie qui y a un intérêt digne de protection (art. 59 al. 2 let. a CPC),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du 17 juin 2005 sur le Tribunal fédéral,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w:t>
      </w:r>
    </w:p>
    <w:p>
      <w:r>
        <w:rPr>
          <w:b/>
        </w:rPr>
        <w:t>E. 2.2</w:t>
      </w:r>
    </w:p>
    <w:p>
      <w:r>
        <w:t>Il ressort du dossier qu’en date du 7 mai 2015, la Présidente du Tribunal civil de l’arrondissement de Lausanne a homologué un concordat, désigné un exécuteur et imparti aux créanciers dont les réclamations étaient contestées un délai de 20 jours pour intenter action. Le premier juge a omis, au moment de statuer sur la requête de fourniture de sûretés en matière de dépens (cf. Stämpfli Handkommentar SHK, Berne 2010, n. 9 ad art. 99 CPC), de tenir compte de ce fait. Il s’agit d’examiner si, nonobstant cette omission qui doit être qualifiée de constatation manifestement inexacte des faits, la solution qu’il a retenue est arbitraire.</w:t>
      </w:r>
    </w:p>
    <w:p>
      <w:r>
        <w:rPr>
          <w:b/>
        </w:rPr>
        <w:t>E. 3.1</w:t>
      </w:r>
    </w:p>
    <w:p>
      <w:r>
        <w:t>Aux termes de l’art. 99 al. 1 CPC, le demandeur doit, sur requête du défendeur, fournir dans les cas suivants des sûretés en garantie du paiement des dépens : il n’a pas de domicile ou de siège en Suisse (let. a); il parait insolvable, notamment en raison d’une mise en faillite, d’une procédure concordataire en cours ou de la délivrance d’actes de défaut de biens (let. b); il est débiteur de frais d’une procédure antérieure (let. c); d’autres raisons font apparaître un risque considérable que les dépens ne soient pas versés (let. d). Il y a insolvabilité au sens de l’art. 99 al. 1 let. b CPC lorsque la partie concernée ne dispose pas des liquidités nécessaires pour faire face à ses dettes exigibles ni du crédit lui permettant de se procurer les moyens nécessaires (Tappy, CPC commenté, 2011, n. 28 ad art. 99 CPC). L’insolvabilité au sens de l’art. 99 al. 1 let. b CPC peut avoir des causes diverses, l’énumération n’y étant pas exhaustive. Il suffit que l’insolvabilité soit vraisemblable ; la vraisemblance peut s’appuyer sur des indices (CREC du 27 novembre 2015/416 consid. 4.2). Une fois homologué, un concordat doit encore être exécuté. Selon Rüegg (Basler Kommentar, 2 e éd., 2013, n. 14 ad art. 99 CPC), l’insolvabilité de la masse concordataire ne prend fin qu’après l’exécution du concordat. Suter/von Holzen (in Kommentar zur Schweizerischen Zivilprozessordnung, Sutter-Somm/Hasenböhler/Leuenberger Hrsg, 2 e éd., 2013, n. 27 ad art. 99 CPC) sont en revanche d’avis que la conclusion d’un concordat suffit. Selon ces auteurs, après la conclusion du concordat, des sûretés pour les dépens peuvent toutefois encore être requises sur la base de la clause générale de l’art. 99 al. 1 let. d CPC. L’art. 99 al. 1 let. d CPC constitue une clause générale qui permet de prendre en considération toute circonstance propre à accroître sensiblement le risque que les dépens restent sinon impayés (Tappy, op. cit., n. 38 ad art. 99 CPC). Des indices de difficultés financières insuffisants pour que le demandeur paraisse insolvable au sens de l’art. 99 al. 1 let. b CPC pourront parfois remplir les conditions de la lettre d de cette disposition, notamment une société en liquidation (Tappy, op. cit., no 39 ad art. 99 CPC). Dans l’arrêt CREC du 23 juin 2015/235 consid. 3c, la Chambre de céans a suivi l’opinion de Rüegg selon laquelle il ne suffit pas qu’un concordat soit homologué pour admettre qu’il n’y a plus d’insolvabilité, en rappelant que le concordat devait être exécuté et pouvait même être révoqué en vertu de l’art. 313 LP (Loi fédérale sur la poursuite pour dettes et la faille du 11 avril 1889, RS 281.1), lorsqu’il était entaché de mauvaise foi (cf. Gilliéron, Poursuite pour dettes, faillites et concordat,</w:t>
      </w:r>
    </w:p>
    <w:p>
      <w:r>
        <w:rPr>
          <w:b/>
        </w:rPr>
        <w:t>E. 3.2.1</w:t>
      </w:r>
    </w:p>
    <w:p>
      <w:r>
        <w:t>En l'espèce, le premier juge s'est exclusivement appuyé sur le fait que le dividende de 30%, proposé aux créanciers dans le cadre du sursis concordataire en cours, à savoir avant la conclusion et l'homologation du concordat intervenus par la suite et dont il n'a pas tenu compte, était de nature à rendre vraisemblable que les actifs de l'intimée ne couvraient pas ses dettes et qu'elle se trouvait en état d'insolvabilité, ce qui justifiait la fourniture de sûretés pour les dépens. Ce raisonnement ne tient toutefois pas compte de l'homologation du concordat qui était déjà intervenue au moment de statuer. Dès lors qu’il n'apparaît pas – selon le dossier, le recours et la réponse des intimés – que le concordat n'ait pas été exécuté, la condition de l’art. 99 al. 1 let. b CPC n’est pas remplie.</w:t>
      </w:r>
    </w:p>
    <w:p>
      <w:r>
        <w:rPr>
          <w:b/>
        </w:rPr>
        <w:t>E. 3.2.2</w:t>
      </w:r>
    </w:p>
    <w:p>
      <w:r>
        <w:t>Reste à examiner si la capacité financière de la recourante fait apparaître un risque considérable que les dépens ne soient pas versés au sens de la clause générale de l'art. 99 al. 1 let d CPC. En l’occurrence, il ressort des pièces figurant au dossier, soit les pièces 2 et 3 du bordereau de la recourante du 6 juillet 2015, que sa situation patrimoniale après homologation du concordat dividende de 35 % se présente comme il suit : Liquidités :              1'790'000 fr. (soit le prix de vente de l'immeuble d'Ecublens dont à déduire l'impôt sur les gains immobiliers d'un montant indéterminé) Dettes : Dettes garanties par gage immobilier 504'922 fr. Dettes privilégiées 650'000 fr. Dettes chirographaires à 35 % 482'000 fr. Frais d'exécution du concordat 10'000 fr. Honoraires du commissaire              19'000 fr. Dette cotisations AVS 2014              66'700 fr. Total des dettes              1'742'622 fr. Disponible (1790'000 - 1'742'622) 47'378 fr. Si l'on considère que ce disponible sera consommé par l'impôt sur les gains immobiliers, les liquidités seront épuisées. Au-delà de ces chiffres, le fait que la société ait dû conclure un plan de recouvrement pour sa dette AVS de 2014 montre des difficultés de trésorerie. Quant à la marche des affaires, on ne dispose au dossier que de l'indication que l'exploitation aurait dégagé un bénéfice net de 66'000 fr. environ de janvier à octobre 2014, mais on ignore tout du bouclement des exercices 2014 et 2015. Au regard de ces éléments, il y lieu de considérer que le manque de liquidités de la recourante est suffisamment préoccupant au stade de la vraisemblance pour admettre que la condition de l’art. 99 al. 1 let. d CPC est remplie et ainsi qu’un dépôt de 15'000 fr. à titre de sûretés est justifié. 4. Partant, le recours doit être rejeté et le prononcé confirmé. Les frais judiciaires de deuxième instance, arrêtés à 800 fr. (art. 69 al. 1 et 70 al. 3 TFJC [tarif des frais judiciaires civils du 28 septembre 2010, RSV 270.11.5]), doivent être mis à la charge de la recourante qui succombe (art. 106 al. 1 CPC). La recourante versera en outre aux intimés, solidairement entre eux, des dépens de deuxième instance arrêtés à 1'000 fr. (art. 8 al. 1 TDC [tarif des dépens en matière civile du 23 novembre 2010, RSV 270.11.6]). Par ces motifs, la Chambre des recours civile du Tribunal cantonal, prononce : I. Le recours est rejeté. II. Le prononcé est confirmé. III. Les frais de deuxième instance, arrêtés à 800 fr. (huit cents francs) sont mis à la charge de la recourante P.________ SA. IV. La recourante P.________ SA doit verser 1'000 fr. (mille francs) aux intimés H.D.________, A.D.________ et B.D.________, solidairement entre eux, à titre de dépens de deuxième instance. V. L'arrêt motivé est exécutoire. Le président :               La greffière : Du 4 mars 2016 Le dispositif de l'arrêt qui précède est communiqué par écrit aux intéressés. La greffière : Du L'arrêt qui précède, dont la rédaction a été approuvée à huis clos, est notifié en expédition complète, par l'envoi de photocopies, à : ‑ Me Marc Cheseaux (pour P.________ SA), ‑ Me Franck Ammann (pour H.D.________, A.D.________ et B.D.________).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r>
        <w:rPr>
          <w:b/>
        </w:rPr>
        <w:t>E. 5</w:t>
      </w:r>
    </w:p>
    <w:p>
      <w:r>
        <w:t>e éd., 2012, n. 3193).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