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269 vom 29. Februar 2016</w:t>
      </w:r>
    </w:p>
    <w:p>
      <w:r>
        <w:t>VD Tribunal cantonal, 2016-02-29, FR</w:t>
      </w:r>
    </w:p>
    <w:p>
      <w:r>
        <w:rPr>
          <w:b/>
        </w:rPr>
        <w:t xml:space="preserve">Quelle: </w:t>
      </w:r>
      <w:r>
        <w:t>https://mcp.opencaselaw.ch/entscheid/vd_findinfo_HC___2016___269</w:t>
      </w:r>
    </w:p>
    <w:p>
      <w:r>
        <w:t>FR: VD_FINDINFO HC / 2016 / 269 du 29 février 2016</w:t>
      </w:r>
    </w:p>
    <w:p>
      <w:r>
        <w:t>IT: VD_FINDINFO HC / 2016 / 269 del 29 febbraio 2016</w:t>
      </w:r>
    </w:p>
    <w:p>
      <w:pPr>
        <w:pStyle w:val="Heading2"/>
      </w:pPr>
      <w:r>
        <w:t>Regeste</w:t>
      </w:r>
    </w:p>
    <w:p>
      <w:r>
        <w:t>DÉCISION D'IRRECEVABILITÉ, DÉLAI DE RECOURS, MOTIVATION DE LA DEMANDE, CONCLUSIONS, PROCÉDURE SOMMAIRE, EXÉCUTION FORCÉE | 319 let. b CPC (CH), 321 al. 1 CPC (CH), 321 al. 2 CPC (CH), 322 al. 1 CPC (CH), 339 al. 2 CPC (CH)</w:t>
      </w:r>
    </w:p>
    <w:p>
      <w:pPr>
        <w:pStyle w:val="Heading2"/>
      </w:pPr>
      <w:r>
        <w:t>Volltext</w:t>
      </w:r>
    </w:p>
    <w:p>
      <w:r>
        <w:t>Vaud Tribunal cantonal Chambre des recours civile 29.02.2016 HC / 2016 / 269</w:t>
      </w:r>
    </w:p>
    <w:p>
      <w:r>
        <w:t>DÉCISION D'IRRECEVABILITÉ, DÉLAI DE RECOURS, MOTIVATION DE LA DEMANDE, CONCLUSIONS, PROCÉDURE SOMMAIRE, EXÉCUTION FORCÉE | 319 let. b CPC (CH), 321 al. 1 CPC (CH), 321 al. 2 CPC (CH), 322 al. 1 CPC (CH), 339 al. 2 CPC (CH)</w:t>
      </w:r>
    </w:p>
    <w:p>
      <w:r>
        <w:t>TRIBUNAL CANTONAL JM14.045444-160320 65 CHAMBRE DES RECOURS CIVILE _________________________________________ Arrêt du 29 février 2016 __________________ Composition :               M. Winzap , président M. Sauterel et Mme Courbat, juges Greffière :              Mme Egger Rochat ***** Art. 319 let. b, 321 al. 1 et 2, 322 al. 1 et 339 CPC Statuant à huis clos sur le recours interjeté par L.________ , à [...], intimé, contre l’ordonnance d’exécution forcée rendue le 25 janvier 2016 par la Juge de paix du district de Lausanne dans la cause divisant le recourant d’avec N.________ SA , à [...], requérante, la Chambre des recours civile du Tribunal cantonal considère : En fait et en droit : 1. Le 25 septembre 2014, la société N.________ SA, dont le siège est à [...], a requis l’exécution forcée du chiffre 2 de la convention conclue avec L.________ lors de l’audience de conciliation du 30 avril 2014 de la Commission de conciliation en matière de baux à loyer du district de Lausanne, selon lequel L.________ devait mandater à ses frais, d’ici le 30 juin 2014, une entreprise sanitaire reconnue qui procéderait à l’examen de la pose de la douche et aux travaux correctifs éventuellement nécessaires. Par ordonnance d’exécution rendue le 18 mars 2015, la juge de paix a admis cette requête et désigné en qualité d’expert la société [...] SA, à Lausanne, qui a déposé un rapport le 21 mai 2015. N.________ SA ayant conclu à la correction de l’armoire à compteur, l’expert a déposé un deuxième rapport le 9 octobre 2015. N.________ SA ayant conclu à la mise en conformité totale de la salle de bains aux frais de l’intimé, l’expert a rendu un rapport complémentaire, le 10 décembre 2015, par lequel il a indiqué qu’il n’y avait pas lieu de procéder à des correctifs s’agissant de l’étanchéité de l’installation réalisée. Par prononcé du 25 janvier 2016, la juge de paix a arrêté la note d’honoraires de l’expert à 1'200 francs. Après avoir entendu l’expert à l’audience du 20 janvier 2016, qui a estimé que, après examen, aucun correctif de l’installation sanitaire effectuée n’était nécessaire, la juge de paix a constaté que la requête d’exécution forcée déposée par N.________ SA n’avait plus d’objet. La juge de paix du district de Lausanne a ainsi rendu une ordonnance par laquelle elle a constaté que la cause était devenue sans objet (I), arrêté les frais judiciaires à 1'400 fr. et dit qu’ils étaient compensés avec l’avance de frais de la requérante (II), mis les frais à la charge de la partie intimée (III) et dit que la partie intimée rembourserait en conséquence à la requérante par 1'400 fr. ses frais judiciaires, sans allocation de dépens pour le surplus (IV) et rayé la cause du rôle (V). 2. Par écriture du 12 février 2016, dont le timbre postal est daté du 13 février 2016, reçue par la Justice de paix du district de Lausanne le 15 février 2016, et précisée le 18 février 2016, L.________ a recouru contre cette ordonnance et contesté les chiffres III et IV de son dispositif. Il invoquait une erreur, estimant, au vu de l’art. 106 al. 1 CPC, que la mise des frais judiciaires à sa charge était contradictoire avec les faits tels que N.________ SA avait entamé la procédure d’exécution forcée et que celle-ci était devenue sans objet. Selon lui, N.________ SA était la partie succombante. Il « remerciait d’avance pour la vérification de ce jugement ». 3. L’ordonnance d’exécution forcée est une décision rendue en procédure sommaire selon l’art. 339 al. 2 CPC, de sorte que le délai pour recourir contre une telle décision est de dix jours en vertu de l’art. 321 al. 2 CPC. En l’espèce, l’ordonnance d’exécution forcée querellée a été envoyée pour notification le 28 janvier 2016 et reçue par les parties le 2 février 2016. Le délai de dix jours commençant à courir le 3 février 2016, il était échu le 12 février 2016. Le recours, posté le 13 février 2016, est dès lors tardif d’un jour et doit être déclaré irrecevable pour cause de tardiveté. 4. De plus, à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16 mars 2015/119 ;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16 mars 2015/119 ; Jeandin, op. cit., n. 4 ad art. 321 CPC et n. 5 ad art. 311 CPC par analogie). En l’espèce, il est douteux, compte tenu de ce qui précède, que la motivation du recourant fût suffisante. Il n’explique pas en quoi la répartition des frais serait contraire à l’art. 106 al. 1 CPC. En outre, il ne formule aucune conclusion tendant à l’annulation ou à la réforme de l’ordonnance attaquée. Par conséquent, le recours serait également irrecevable à ce titre, sans qu’il y ait lieu d’impartir un délai au recourant pour remédier aux vices de son écriture. 5. Le présent arrêt peut être rendu sans frais judiciaires de deuxième instance (art. 10 TFJC [tarif des frais judiciaires du 28 septembre 2010,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L.________, ‑ N.________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