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252 vom 1. März 2016</w:t>
      </w:r>
    </w:p>
    <w:p>
      <w:r>
        <w:t>VD Tribunal cantonal, 2016-03-01, FR</w:t>
      </w:r>
    </w:p>
    <w:p>
      <w:r>
        <w:rPr>
          <w:b/>
        </w:rPr>
        <w:t xml:space="preserve">Quelle: </w:t>
      </w:r>
      <w:r>
        <w:t>https://mcp.opencaselaw.ch/entscheid/vd_findinfo_HC___2016___252</w:t>
      </w:r>
    </w:p>
    <w:p>
      <w:r>
        <w:t>FR: VD_FINDINFO HC / 2016 / 252 du 1 mars 2016</w:t>
      </w:r>
    </w:p>
    <w:p>
      <w:r>
        <w:t>IT: VD_FINDINFO HC / 2016 / 252 del 1 marzo 2016</w:t>
      </w:r>
    </w:p>
    <w:p>
      <w:pPr>
        <w:pStyle w:val="Heading2"/>
      </w:pPr>
      <w:r>
        <w:t>Regeste</w:t>
      </w:r>
    </w:p>
    <w:p>
      <w:r>
        <w:t>OBLIGATION D'ENTRETIEN, ENFANT, MINIMUM VITAL, RELATIONS PERSONNELLES | 276 CC, 285 al. 1 CC, 286 CC</w:t>
      </w:r>
    </w:p>
    <w:p>
      <w:pPr>
        <w:pStyle w:val="Heading2"/>
      </w:pPr>
      <w:r>
        <w:t>Erwägungen</w:t>
      </w:r>
    </w:p>
    <w:p>
      <w:r>
        <w:rPr>
          <w:b/>
        </w:rPr>
        <w:t>E. 1</w:t>
      </w:r>
    </w:p>
    <w:p>
      <w:r>
        <w:t>En matière patrimoniale, l’appel est recevable contre les ordonnances de mesures provisionnelles lorsque la valeur litigieuse est supérieure à 10'000 francs (art. 308 al. 1 let. b et 308 al. 2 CPC [Code de procédure civile suisse du 19 décembre 2008 ; RS 272]). Les ordonnances de mesures provisionnelles étant régies par la procédure sommaire conformément à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(art. 59 al.</w:t>
      </w:r>
    </w:p>
    <w:p>
      <w:r>
        <w:rPr>
          <w:b/>
        </w:rPr>
        <w:t>E. 2</w:t>
      </w:r>
    </w:p>
    <w:p>
      <w:r>
        <w:t>let. a CPC)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 [Loi vaudoise d’organisation judiciaire du 12 décembre 1979 ; RSV 173.02]).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 Tappy, Les voies de droit du nouveau Code de procédure civile, JdT 2010 III 134). Elle peut revoir librement la constatation des faits sur la base des preuves administrées en première instance (Jeandin, op. cit., n. 6 ad art. 310 CPC ; Tappy, op. cit., JdT 2010 III 135). Le large pouvoir d'examen en fait et en droit ainsi défini s'applique même si la décision attaquée est de nature provisionnelle (CACI 14 mars 2011/12 consid. 2, JdT 2011 III 43). Aux termes de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juge déléguée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 CACI 10 octobre 2013/537 consid. 2.2 ; CACI 1 er février 2012/75 consid. 2a).</w:t>
      </w:r>
    </w:p>
    <w:p>
      <w:r>
        <w:rPr>
          <w:b/>
        </w:rPr>
        <w:t>E. 2.2</w:t>
      </w:r>
    </w:p>
    <w:p>
      <w:r>
        <w:t>En l’espèce, on comprend que la conclusion II en annulation de l’ordonnance litigieuse prise par l’appelant tend en réalité à sa réforme. S’agissant de la conclusion III, relative au maintien de la convention passée le 17 mars 2005 entre les parties, il convient de retenir qu’elle ne concerne que la non-prise en compte des allocations familiales dans les montants arrêtés à l’instar de ce qui avait été convenu à l’époque. Enfin, les conclusions IV et V correspondent en réalité à une requête d’assistance judiciaire. Celle-ci a été réservée par avis de la Juge déléguée de céans du 20 janvier 2016.</w:t>
      </w:r>
    </w:p>
    <w:p>
      <w:r>
        <w:rPr>
          <w:b/>
        </w:rPr>
        <w:t>E. 3</w:t>
      </w:r>
    </w:p>
    <w:p>
      <w:r>
        <w:t>L’appelant conteste le montant de ses charges incompressibles tel que retenu par le premier juge. Il soutient que les frais de déplacement qu’il a allégué en lien avec l'exercice de son droit de visite sur B.G.________ deux fois par semaine à hauteur de 358 fr. 40, ainsi que le montant forfaitaire de 150 fr. relatif aux frais d’exercice du droit de visite par le parent non gardien devaient être pris en considération dans ses charges incompressibles.</w:t>
      </w:r>
    </w:p>
    <w:p>
      <w:r>
        <w:rPr>
          <w:b/>
        </w:rPr>
        <w:t>E. 3.1</w:t>
      </w:r>
    </w:p>
    <w:p>
      <w:r>
        <w:t>Aux termes de l'art. 276 al. 1 CC (Code civil suisse du 10 décembre 1907 ; RS 210),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2 CC). L'art. 285 al. 1 CC dispose que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L'obligation d'entretien trouve sa limite dans la capacité contributive du débirentier, en ce sens que le minimum vital de celui-ci doit être préservé (TF 5A_874/2014 du 8 mai 2015 consid. 6.2.1 ; TF 5A_634/2013 du 12 mars 2014 consid. 3.1.2 ; ATF 135 III 66). S’agissant de l’obligation d’entretien d’un enfant mineur, les exigences à l’égard des père et mère sont plus élevées, de sorte que ceux-ci doivent réellement épuiser leur capacité maximale de travail (TF 5A_874/2014 du 8 mai 2015 consid. 6.2.1 ; TF 5A_634/2013 du 12 mars 2014 consid. 3.1.2 ; ATF 137 III 118 consid. 3.1). La capacité contributive doit être appréciée en fonction des charges effectives du débirentier, étant précisé que seuls les montants réellement acquittés peuvent être pris en compte ( ATF 126 III 89 consid. 3b ; ATF 121 III 20 consid. 3a ; TF 5A_65/2013 du 4 septembre 2013 consid. 3.2.1 ; TF 5A_860/2011 du 11 juin 2012 consid. 2.1 ; TF 5A_236/2011 du 18 octobre 2011 consid. 4.1.3 ). Les frais liés à l’exercice du droit de visite peuvent être pris en compte dans le calcul du minimum vital du parent visiteur (TF 7B.145/2005 du 11 octobre 2005, FamPra.ch 2006, p. 198 ; Vetterli, FamKomm Scheidung, Band I, 2 e éd., 2011, n. 33 ad art. 176 CC, p. 431 ; Juge délégué CACI 2 décembre 2011/387 consid. 4b). Selon la jurisprudence non publiée du Tribunal fédéral, cette prise en considération ne s’impose pas (TF 5A_42/2013 du 27 juin 2013 consid. 2.2.4 ; TF 5A_63/2012 du 20 juin 2012 consid. 4.2.1). S'agissant du montant de 150 fr. admis par la pratique vaudoise à certaines conditions pour les frais liés à l'exercice d'un droit de visite, un tel montant n'est pas prévu par le minimum vital LP et la jurisprudence fédérale n'impose pas au juge d'en tenir compte (TF 5A_63/2012 du 20 juin 2012 consid. 4.2.1 ; TF 5C.3811997 du 8 avril 1997 consid. 4). On peut encore relever que la pratique vaudoise n'est pas généralisée (cf. Juge déléguée CACI du 27 octobre 2014/554 consid. 3 et les arrêts cités). Le Tribunal fédéral a d'ailleurs admis que la question de savoir s'il y avait lieu de prendre en compte un montant forfaitaire pour l'exercice du droit de visite relevait du pouvoir d'appréciation du juge (TF 5A_92/2014 du 23 juillet 2014 consid. 3.1 ; TF 5A_693/2014 du 1 er décembre 2014 consid. 3.2, FamPra.ch 2015 p. 261).</w:t>
      </w:r>
    </w:p>
    <w:p>
      <w:r>
        <w:rPr>
          <w:b/>
        </w:rPr>
        <w:t>E. 3.2</w:t>
      </w:r>
    </w:p>
    <w:p>
      <w:r>
        <w:t>En l'espèce, la mère de l'enfant B.G.________ a expliqué que l’appelant n'avait plus exercé son droit de visite depuis deux ans et qu'il ne voyait que très rarement son fils B.G.________, à savoir lorsque celui-ci se trouvait chez sa grand-mère paternelle ce que l'appelant ne conteste pas. Ce dernier a admis avoir connu de grandes difficultés à exercer son droit de visite jusqu'ici, ne voyant son fils que chez ses propres parents de façon épisodique, concédant qu’il n'exerçait pas son droit de visite de « façon classique » . S’il affirme souhaiter ardemment pouvoir profiter de son enfant B.G.________, il n'a cependant pas démontré, au degré de la vraisemblance requis au stade des mesures provisionnelles, qu'il exerçait son droit de visite deux jours par semaine comme allégué devant le premier juge. Il n’y a dès lors pas lieu de tenir compte du montant de 358 fr. 40 requis par l’appelant. La même conclusion s’impose s’agissant du montant de 150 fr. dont il se prévaut. O n ne saurait reprocher au premier juge d'avoir abusé de son pouvoir d'appréciation ou d’avoir pris une décision inéquitable en refusant de tenir compte de ces deux montants dans les charges incompressibles de l’appelant. En effet, l'intérêt de l'enfant à la couverture de ses besoins l'emporte en l'espèce sur la solution inverse qui risque de porter préjudice audit intérêt en privant l'enfant B.G.________ des moyens nécessaires à son entretien. Par surabondance, la solution retenue ne prête pas le flanc à la critique au vu des ressources respectives des parents de B.G.________, l'appelant n'alléguant ni ne démontrant que sa situation serait moins favorable que celle de la mère de l'enfant.</w:t>
      </w:r>
    </w:p>
    <w:p>
      <w:r>
        <w:rPr>
          <w:b/>
        </w:rPr>
        <w:t>E. 4</w:t>
      </w:r>
    </w:p>
    <w:p>
      <w:r>
        <w:t>mars 2016 Le dispositif du présent arrêt est communiqué par écrit aux intéressés. La greffière : Du Le présent arrêt, dont la rédaction a été approuvée à huis clos, est notifié en expédition complète à : ‑ Me Véronique Fontana, avocate (pour Q.________), ‑ Me Marcel Paris, avocat (pour A.G.________),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