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 vom 14. Dezember 2015</w:t>
      </w:r>
    </w:p>
    <w:p>
      <w:r>
        <w:t>VD Tribunal cantonal, 2015-12-14, FR</w:t>
      </w:r>
    </w:p>
    <w:p>
      <w:r>
        <w:rPr>
          <w:b/>
        </w:rPr>
        <w:t xml:space="preserve">Quelle: </w:t>
      </w:r>
      <w:r>
        <w:t>https://mcp.opencaselaw.ch/entscheid/vd_findinfo_HC___2016___25</w:t>
      </w:r>
    </w:p>
    <w:p>
      <w:r>
        <w:t>FR: VD_FINDINFO HC / 2016 / 25 du 14 décembre 2015</w:t>
      </w:r>
    </w:p>
    <w:p>
      <w:r>
        <w:t>IT: VD_FINDINFO HC / 2016 / 25 del 14 dicembre 2015</w:t>
      </w:r>
    </w:p>
    <w:p>
      <w:pPr>
        <w:pStyle w:val="Heading2"/>
      </w:pPr>
      <w:r>
        <w:t>Regeste</w:t>
      </w:r>
    </w:p>
    <w:p>
      <w:r>
        <w:t>DÉPENS, VALEUR LITIGIEUSE, INDEMNITÉ ÉQUITABLE | 11 TDC, 20 al. 2 TDC</w:t>
      </w:r>
    </w:p>
    <w:p>
      <w:pPr>
        <w:pStyle w:val="Heading2"/>
      </w:pPr>
      <w:r>
        <w:t>Erwägungen</w:t>
      </w:r>
    </w:p>
    <w:p>
      <w:r>
        <w:rPr>
          <w:b/>
        </w:rPr>
        <w:t>E. 1</w:t>
      </w:r>
    </w:p>
    <w:p>
      <w:r>
        <w:t>L’art. 110 CPC ouvre la voie du recours de l’art. 319 let. b ch. 1 CPC contre les décisions sur les frais, à savoir les frais judiciaires et les dépens (art. 95 CPC). S’agissant d’une décision rendue en procédure sommaire, le délai de recours est de dix jours (art. 321 al. 2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2013, n. 26 ad art. 319 CPC).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2014, n. 19 ad art. 97 LTF).</w:t>
      </w:r>
    </w:p>
    <w:p>
      <w:r>
        <w:rPr>
          <w:b/>
        </w:rPr>
        <w:t>E. 3</w:t>
      </w:r>
    </w:p>
    <w:p>
      <w:r>
        <w:t>Les recourantes reprochent au premier juge d’avoir fixé les dépens en violation de l’art. 11 TDC, dès lors que la valeur litigieuse correspondrait, selon elles, au montant du loyer brut pendant quatre ans, soit à 67'200 francs. Compte tenu des activités déployées par leur mandataire tout au long de la procédure, y compris celle d’expulsion, les recourantes estiment que les dépens doivent être arrêtés à 1'125 francs.</w:t>
      </w:r>
    </w:p>
    <w:p>
      <w:r>
        <w:rPr>
          <w:b/>
        </w:rPr>
        <w:t>E. 3.1</w:t>
      </w:r>
    </w:p>
    <w:p>
      <w:r>
        <w:t>Aux termes de l’art. 3 al. 2 TDC, applicable aux agents d’affaires brevetés par renvoi de l’art. 7 al. 2 LPAg (loi sur la profession d’agent d’affaires breveté du 20 mai 1957; RSV 179.11), dans les contestations portant sur des affaires patrimoniales, le défraiement est fixé, selon le type de procédure et dans les limites des tableaux figurant aux articles 4 à 8 et 10 à 13 du présent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Selon l’art. 11 TDC, lorsque la valeur litigieuse se situe entre 10'001 fr. à 30'000 fr., la fourchette des dépens applicable se situe entre 750 fr. et 2'250 francs. Conformément à l’art. 19 TDC, les dépens comprennent les débours nécessaires, qui incluent notamment les frais de déplacement, de téléphone, de port et de copie (al. 1). Ils sont estimés, sauf élément contraire, à 5% du défraiement du représentant professionnel et s'ajoutent à celui-ci (al. 2). L’art. 20 al. 2 TDC dispose que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La pratique vaudoise en matière de rémunération de l’agent d’affaires breveté retient un tarif horaire moyen de 215 fr. à 250 fr. (CREC 7 janvier 2014/3 consid. 3a/cc; CREC 6 octobre 2011/180 consid. 4/ba ; CREC II 20 juillet 2009/145 consid. 4; CREC 8 août 2011/125).</w:t>
      </w:r>
    </w:p>
    <w:p>
      <w:r>
        <w:rPr>
          <w:b/>
        </w:rPr>
        <w:t>E. 3.2</w:t>
      </w:r>
    </w:p>
    <w:p>
      <w:r>
        <w:t>En l’espèce, la valeur litigieuse en matière d’exécution forcée se détermine de la même manière que celle en matière d’expulsion, soit une année de loyers et non, comme le soutiennent les recourantes, quatre années de loyers. Par conséquent, le premier juge a correctement pris en compte la période déterminante pour fixer la valeur litigieuse. Comme l’a toutefois relevé l’intimé D.________ par son curateur, le magistrat s’est trompé dans son calcul, la valeur litigieuse s’élevant en réalité à 16'800 fr. (1'400 x 12) et non à 29'100 francs. Compte tenu de cette valeur litigieuse, la fourchette des dépens applicable se situe entre 750 fr. et 2'250 francs. Le montant de 75 fr. retenu par le premier juge à titre de dépens aboutit ainsi à une réduction correspondant à 1/10 e du minimum de la fourchette de 750 fr. prévue à l’art. 11 TDC. Cette réduction excède le pouvoir d’appréciation dont jouit le premier juge en présence d’une fourchette et au regard des dispositions applicables en la matière. Le recours doit être admis sur ce point. En l’absence d’une note d’honoraires produite en première instance, on peut admettre – compte tenu des actes de procédure effectués, à savoir la rédaction de deux courtes lettres standard, ainsi que de divers contacts avec les recourantes – que l’agent d’affaires breveté a consacré au maximum une heure à l’exercice de son mandat. Il convient en outre de retenir des débours, qui peuvent être arrêtés à 5% du montant des honoraires, soit à 10 fr. 75. Le montant des dépens alloué aux recourantes doit dès lors être fixé à 225 fr. 75, montant que l’on peut arrondir à 226 francs.</w:t>
      </w:r>
    </w:p>
    <w:p>
      <w:r>
        <w:rPr>
          <w:b/>
        </w:rPr>
        <w:t>E. 4</w:t>
      </w:r>
    </w:p>
    <w:p>
      <w:r>
        <w:t>En définitive, le recours est partiellement admis et le chiffre III du dispositif de l'ordonnance attaquée réformé en ce sens que l’intimé doit verser aux recourantes, solidairement entre elles, la somme de 226 fr. à titre de dépens de première instance. L’ordonnance est confirmée pour le surplus. Vu l’issue du litige, les frais judiciaires de deuxième instance, arrêtés à 100 fr. (art. 69 al. 1 TFJC [Tarif des frais judiciaires civils du 28 septembre 2010 ; RSV 270.11.5]), doivent être mis à la charge des recourantes, solidairement entre elles, à raison de 80 fr., et de l’intimé à raison de 20 fr. (art. 106 al. 2 CPC). L’intimé versera ainsi aux recourantes, solidairement entre elles, la somme de 20 fr. à titre de restitution partielle de l’avance de frais fournie par ces dernières. Les recourantes, qui agissent par le biais d’un mandataire professionnel, ont droit à des dépens de deuxième instance. Compte tenu de la valeur litigieuse et de la simplicité de la cause, ces dépens réduits peuvent être arrêtés à 90 francs. L’intimé versera en définitive aux recourantes, solidairement entre elles, la somme de 110 fr. à titre de restitution partielle de l’avance de frais et de dépens réduits de deuxième instance. Par ces motifs, la Chambre des recours civile du Tribunal cantonal, prononce : I. Le recours est partiellement admis. II. L’ordonnance est réformée à son ch. III comme il suit : III. dit que le locataire D.________ versera aux bailleurs A.W.________ et B.W.________, solidairement entre elles, la somme de 226 fr. (deux cent vingt-six francs) à titre de dépens de première instance ; L’ordonnance est maintenue pour le surplus. III. Les frais judiciaires de deuxième instance, arrêtés à 100 fr. (cent francs), sont mis par 80 fr. (huitante francs) à la charge des recourantes A.W.________ et B.W.________, solidairement entre elles, et par 20 fr. (vingt francs) à la charge de l’intimé D.________. IV. L’intimé D.________ doit verser aux recourantes A.W.________ et B.W.________, solidairement entre elles, la somme de 110 fr. (cent dix francs) à titre de restitution partielle de l’avance de frais et de dépens de deuxième instance. V. L’arrêt motivé est exécutoire. Le président :               La greffière : Du 14 décembre 2015 Le dispositif de l'arrêt qui précède est communiqué par écrit aux intéressés. La greffière : Du L'arrêt qui précède, dont la rédaction a été approuvée à huis clos, est notifié en expédition complète, par l'envoi de photocopies, à : ‑ M. Pascal Stouder, aab (pour A.W.________ et B.W.________), ‑ M. [...], (pour D.________, président de G.________ en liquidation).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