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249 vom 7. März 2016</w:t>
      </w:r>
    </w:p>
    <w:p>
      <w:r>
        <w:t>VD Tribunal cantonal, 2016-03-07, FR</w:t>
      </w:r>
    </w:p>
    <w:p>
      <w:r>
        <w:rPr>
          <w:b/>
        </w:rPr>
        <w:t xml:space="preserve">Quelle: </w:t>
      </w:r>
      <w:r>
        <w:t>https://mcp.opencaselaw.ch/entscheid/vd_findinfo_HC___2016___249</w:t>
      </w:r>
    </w:p>
    <w:p>
      <w:r>
        <w:t>FR: VD_FINDINFO HC / 2016 / 249 du 7 mars 2016</w:t>
      </w:r>
    </w:p>
    <w:p>
      <w:r>
        <w:t>IT: VD_FINDINFO HC / 2016 / 249 del 7 marzo 2016</w:t>
      </w:r>
    </w:p>
    <w:p>
      <w:pPr>
        <w:pStyle w:val="Heading2"/>
      </w:pPr>
      <w:r>
        <w:t>Regeste</w:t>
      </w:r>
    </w:p>
    <w:p>
      <w:r>
        <w:t>DÉCISION D'IRRECEVABILITÉ, OBLIGATION DE CHIFFRER LES CONCLUSIONS, TRANSACTION JUDICIAIRE | 241 al. 2 CPC (CH), 241 al. 3 CPC (CH), 311 al. 1 CPC (CH)</w:t>
      </w:r>
    </w:p>
    <w:p>
      <w:pPr>
        <w:pStyle w:val="Heading2"/>
      </w:pPr>
      <w:r>
        <w:t>Erwägungen</w:t>
      </w:r>
    </w:p>
    <w:p>
      <w:r>
        <w:rPr>
          <w:b/>
        </w:rPr>
        <w:t>E. 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l’espèce, compte tenu du caractère final de la décision, s’agissant d’une transaction au fond dans une cause en partage successoral, et de la valeur litigieuse, qui est supérieure à 10'000 fr., seule la voie de l’appel est ouverte, de sorte qu’il y a lieu de considérer que le "recours" adressé au Tribunal d’arrondissement constitue en réalité un appel. Il est de la compétence de la Cour d’appel civile (art. 84 al. 1 LOJV [loi d'organisation judiciaire du 12 décembre 1979 ; RSV 173] et 39 ROTC [règlement organique du Tribunal cantonal du 13 novembre 2007 ; RSV 173.31.1]), de sorte que, mal adressé, l’acte a été transmis d’office à la cour compétente pour être valablement traité.</w:t>
      </w:r>
    </w:p>
    <w:p>
      <w:r>
        <w:rPr>
          <w:b/>
        </w:rPr>
        <w:t>E. 2.1</w:t>
      </w:r>
    </w:p>
    <w:p>
      <w:r>
        <w:t>Selon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En matière pécuniaire, l'appel doit contenir des conclusions chiffrées, sous peine d'irrecevabilité. Il ne saurait être remédié à ce vice par la fixation d'un délai de l'art. 132 CPC (ATF 137 III 617 consid. 4 et 5, JdT 2014 II 187) ou par une interpellation du tribunal au sens de l'art. 56 CPC (TF 5A_855/2012 du 13 février 2013 consid. 5, RSPC 2013 p. 257 ; CACI 15 février 2016/98 consid. 5b).</w:t>
      </w:r>
    </w:p>
    <w:p>
      <w:r>
        <w:rPr>
          <w:b/>
        </w:rPr>
        <w:t>E. 2.2</w:t>
      </w:r>
    </w:p>
    <w:p>
      <w:r>
        <w:t>En l'espèce, dans son écriture du 18 décembre 2015, l’appelante se limite à demander que « tout soit partagé en tout et pour tout à part égale ». Dans son écriture complémentaire du 19 décembre 2015, elle « propose » que l’intimé verse à chacune de ses sœurs « un acompte minimum de 400'000 fr. (quatre cent mille francs) et lors de la vente de la parcelle n° [...] valeur à ce jour Fr. 2'100'000 (offre ferme et définitive de M. [...]) et du notaire Maître [...] le solde », sans toutefois prendre de conclusion chiffrée à cet égard. Comme rappelé par la jurisprudence précitée, le vice découlant du défaut de conclusions chiffrées ne peut pas être guéri par la fixation d’un délai à forme de l’art. 132 al. 1 CPC et entraîne, pour ce motif déjà, l’irrecevabilité de l’appel.</w:t>
      </w:r>
    </w:p>
    <w:p>
      <w:r>
        <w:rPr>
          <w:b/>
        </w:rPr>
        <w:t>E. 3</w:t>
      </w:r>
    </w:p>
    <w:p>
      <w:r>
        <w:t>En outre et surtout, l’appel est irrecevable en application de l’art. 241 al. 2 et 3 CPC, seule la voie de la révision étant ouverte contre la décision rayant la cause du rôle ensuite d'une transaction judiciaire et contre la transaction judiciaire elle-même (ATF 139 III 133 consid. 1.2 et 1.3, JdT 2014 II 268), étant précisé que la révision est de la compétence de l’autorité qui a statué et non de la Cour d’appel civile (art. 328 al. 1 let. c CPC) et que le moyen tiré de la compétence est examiné d’office et constitue une condition de recevabilité de l’appel (art. 59 al. 2 let. b CPC).</w:t>
      </w:r>
    </w:p>
    <w:p>
      <w:r>
        <w:rPr>
          <w:b/>
        </w:rPr>
        <w:t>E. 4</w:t>
      </w:r>
    </w:p>
    <w:p>
      <w:r>
        <w:t>Compte tenu de ce qui précède, l’appel doit être déclaré irrecevable selon le mode procédural de l’art. 312 al. 1 CPC. Le présent arrêt sera rendu sans frais en application de l’art. 11 TFJC (tarif du 28 septembre 2010 des frais judiciaires civils ; RSV 270.11.5). Les intimés n’ayant pas été invités à se déterminer sur l’appel,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