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243 vom 2. März 2016</w:t>
      </w:r>
    </w:p>
    <w:p>
      <w:r>
        <w:t>VD Tribunal cantonal, 2016-03-02, FR</w:t>
      </w:r>
    </w:p>
    <w:p>
      <w:r>
        <w:rPr>
          <w:b/>
        </w:rPr>
        <w:t xml:space="preserve">Quelle: </w:t>
      </w:r>
      <w:r>
        <w:t>https://mcp.opencaselaw.ch/entscheid/vd_findinfo_HC___2016___243</w:t>
      </w:r>
    </w:p>
    <w:p>
      <w:r>
        <w:t>FR: VD_FINDINFO HC / 2016 / 243 du 2 mars 2016</w:t>
      </w:r>
    </w:p>
    <w:p>
      <w:r>
        <w:t>IT: VD_FINDINFO HC / 2016 / 243 del 2 marzo 2016</w:t>
      </w:r>
    </w:p>
    <w:p>
      <w:pPr>
        <w:pStyle w:val="Heading2"/>
      </w:pPr>
      <w:r>
        <w:t>Regeste</w:t>
      </w:r>
    </w:p>
    <w:p>
      <w:r>
        <w:t>PROCÈS DEVENU SANS OBJET, HONORAIRES | 122 al. 2 CPC (CH), 242 CPC (CH)</w:t>
      </w:r>
    </w:p>
    <w:p>
      <w:pPr>
        <w:pStyle w:val="Heading2"/>
      </w:pPr>
      <w:r>
        <w:t>Erwägungen</w:t>
      </w:r>
    </w:p>
    <w:p>
      <w:r>
        <w:rPr>
          <w:b/>
        </w:rPr>
        <w:t>E. 2</w:t>
      </w:r>
    </w:p>
    <w:p>
      <w:r>
        <w:t>Par acte du 15 février 2016, T.________, par l’intermédiaire de son conseil, a formé recours contre l’ordonnance susmentionnée, en concluant, avec suite de frais et dépens, à son annulation, l’intéressé étant immédiatement libéré.</w:t>
      </w:r>
    </w:p>
    <w:p>
      <w:r>
        <w:rPr>
          <w:b/>
        </w:rPr>
        <w:t>E. 3</w:t>
      </w:r>
    </w:p>
    <w:p>
      <w:r>
        <w:t>Par télécopie du 17 février 2016, le Service de la population, Secteur départs, a informé le Tribunal cantonal de ce que l’intéressé avait quitté la Suisse en date du 13 février 2016 à destination de [...], en [...]. Le 19 février 2016, le conseil d’office du recourant a produit une liste de ses opérations.</w:t>
      </w:r>
    </w:p>
    <w:p>
      <w:r>
        <w:rPr>
          <w:b/>
        </w:rPr>
        <w:t>E. 4</w:t>
      </w:r>
    </w:p>
    <w:p>
      <w:r>
        <w:t>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En l’espèce, le recours tendant à la levée de la détention administrative de T.________ n’a plus d’objet, celui-ci ayant quitté la Suisse le 13 février 2016 à destination de [...], en [...].</w:t>
      </w:r>
    </w:p>
    <w:p>
      <w:r>
        <w:rPr>
          <w:b/>
        </w:rPr>
        <w:t>E. 5</w:t>
      </w:r>
    </w:p>
    <w:p>
      <w:r>
        <w:t>Au vu de ce qui précède, il y a lieu de prendre acte du fait que le recours est devenu sans objet et de rayer la cause du rôle Le présent arrêt peut être rendu sans frais judiciaires (art. 50 LPA-VD).</w:t>
      </w:r>
    </w:p>
    <w:p>
      <w:r>
        <w:rPr>
          <w:b/>
        </w:rPr>
        <w:t>E. 6</w:t>
      </w:r>
    </w:p>
    <w:p>
      <w:r>
        <w:t>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19 février 2016 par Me Flore Primault, conseil du recourant, il convient d’arrêter le montant de son indemnité à 974 fr. 15, comme requis, correspondant à cinq heures au tarif horaire de 180 fr. (art. 2 al. 1 let. a RAJ [règlement sur l’assistance judiciaire en matière civile ; RSV 211.02.3]), plus des débours annoncés par 2 fr. et la TVA sur le tout par 72 fr. 15. Par ces motifs, la Chambre des recours civile du Tribunal cantonal, prononce : I. Le recours est sans objet. II. La cause est rayée du rôle. III. L'indemnité d'office de Me Flore Primault, conseil du recourant, est arrêtée à 974 fr. 15 (neuf cent septante-quatre francs et quinze centimes), TVA et débours compris. IV. L'arrêt, rendu sans frais, est exécutoire. Le président :               La greffière : Du L'arrêt qui précède, dont la rédaction a été approuvée à huis clos, est notifié à : ‑ Me Flore Primault, avocate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