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241 vom 1. März 2016</w:t>
      </w:r>
    </w:p>
    <w:p>
      <w:r>
        <w:t>VD Tribunal cantonal, 2016-03-01, FR</w:t>
      </w:r>
    </w:p>
    <w:p>
      <w:r>
        <w:rPr>
          <w:b/>
        </w:rPr>
        <w:t xml:space="preserve">Quelle: </w:t>
      </w:r>
      <w:r>
        <w:t>https://mcp.opencaselaw.ch/entscheid/vd_findinfo_HC___2016___241</w:t>
      </w:r>
    </w:p>
    <w:p>
      <w:r>
        <w:t>FR: VD_FINDINFO HC / 2016 / 241 du 1 mars 2016</w:t>
      </w:r>
    </w:p>
    <w:p>
      <w:r>
        <w:t>IT: VD_FINDINFO HC / 2016 / 241 del 1 marzo 2016</w:t>
      </w:r>
    </w:p>
    <w:p>
      <w:pPr>
        <w:pStyle w:val="Heading2"/>
      </w:pPr>
      <w:r>
        <w:t>Regeste</w:t>
      </w:r>
    </w:p>
    <w:p>
      <w:r>
        <w:t>EXPULSION DE LOCATAIRE, BAIL À LOYER, TERME COMMINATOIRE | 257d CO, 257 CPC (CH)</w:t>
      </w:r>
    </w:p>
    <w:p>
      <w:pPr>
        <w:pStyle w:val="Heading2"/>
      </w:pPr>
      <w:r>
        <w:t>Erwägungen</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le loyer mensuel étant de 4’015 fr., charges comprises, la valeur litigieuse est sans conteste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 Formé en temps utile (art. 314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cf. CACI 24 juin 2015/325 consid. 2 ; CACI 25 novembre 2014/607 consid. 3a ; CACI 6 mars 2014/102 consid. 2b ; CACI 10 juin 2013/289 consid. 4a). En l’espèce, les pièces produites par l’appelant figuraient déjà toutes au dossier de première instance. Elles sont donc recevables.</w:t>
      </w:r>
    </w:p>
    <w:p>
      <w:r>
        <w:rPr>
          <w:b/>
        </w:rPr>
        <w:t>E. 3.1</w:t>
      </w:r>
    </w:p>
    <w:p>
      <w:r>
        <w:t>L’appelant reproche au premier juge de ne pas avoir tenu compte des quittances produites en première instance, justifiant qu’il n’était pas en demeure dans le paiement de son loyer. Il fait valoir que les loyers des mois de mai et juin 2015 auraient été payés les 8 mai et 19 juin 2015. Au surplus, l’appelant prétend qu’au vu de ses griefs, les conditions du cas clair ne seraient pas réalisées, l’état de fait étant litigieux et ne pouvant être immédiatement prouvé.</w:t>
      </w:r>
    </w:p>
    <w:p>
      <w:r>
        <w:rPr>
          <w:b/>
        </w:rPr>
        <w:t>E. 3.2.1</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seul fait que le juge doive requérir la production de certaines pièces ne permet pas d’exclure la protection en cas clair (CACI 29 mars 2012/157). La preuve des dettes de loyer et de frais accessoire contractées par le locataire s’apporte en principe par titres, et celle des paiements exécutés en vue d’éteindre ces dettes s’apporte aussi de cette manière. Lorsque les documents produits par les parties sont insuffisants à amener une certitude dans un sens ou dans l’autre, le juge peut raisonnablement présumer qu’un interrogatoire des parties et l’audition d’un témoin ne permettraient pas non plus d’élucider précisément et sûrement les dettes encore dues, le cas échéant, au jour de la sommation. Ainsi, les faits décisifs ne peuvent pas être immédiatement prouvés aux termes de l’art. 257 al. 1 let. a CPC (TF 4A_592/2012 du 9 septembre 2013 consid. 6).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œuvre d’une expertise – sera nécessaire pour trancher la question :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ATF 141 III 262 consid. 4.2.1). Le fait pour le défendeur d'avancer des arguments sans proposer le moindre indice à leur appui et sans mentionner les preuves des moyens qu'il invoque ne remet pas en cause le cas clair (Bohnet, ibidem ; Bohnet, note in RSPC 2013 p. 140 ; CREC 30 juillet 2013/251 ; CACI 4 mars 2014/98, CdB 2014 p. 119 ; TF 4A_418/2014 du 18 août 2014 consid. 3).</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CREC I 25 mars 2010/151). C’est à la partie qui prétend que son obligation a été exécutée – et objecte ainsi le fait qu’elle est éteinte – de prouver cette exécution (ATF 128 III 271, JdT 2003 I 606 consid. 2a/ aa). Il appartient ainsi au débiteur de prouver l‘extinction de son obligation, notamment par paiement (CACI 4 février 2014/62, CdB 2014 p. 52 ; CACI 13 mars 2014/121).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(cf. notamment TF 27 février 1997, Cahiers du bail [CdB] 3/97 pp. 65ss). A contrario, le congé donné en application de l’art. 257d CO est nul lorsque le locataire a payé l’arriéré de loyer dans le délai comminatoire de 30 jours. La nullité vaut a fortiori lorsque le locataire était à jour dans le paiement de ses loyers lorsqu’il a reçu l’avis comminatoire (CREC I 14 juin 2010/317). De même, l’avis comminatoire est dépourvu d’effets s’il porte sur un loyer qui n’est pas encore échu (CREC I 25 mars 2010/151).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 février 2008 consid. 4.2.5) ou de huit jours (TF 4a_549/2013 du</w:t>
      </w:r>
    </w:p>
    <w:p>
      <w:r>
        <w:rPr>
          <w:b/>
        </w:rPr>
        <w:t>E. 3.3</w:t>
      </w:r>
    </w:p>
    <w:p>
      <w:r>
        <w:t>En l’espèce, il ressort des pièces produites qu’à l’échéance du délai de 30 jours fixé par l’avis comminatoire du 9 juin 2015, soit le 10 juillet 2015, les loyers en souffrance des mois de mai et juin 2015 n’avaient pas été payés. En effet, l’appelant a payé ses loyers de janvier 2015 à avril 2015 en fin de mois ou le mois suivant au lieu de les régler en début de mois. L’appelant a certes allégué avoir payé par virement postal les loyers des mois de décembre 2014 et janvier 2015, mais il n’a produit qu’une seule quittance pour cette période, datée du 7 janvier 2015, qui concerne donc le mois de décembre 2014. Il en résulte que le paiement intervenu le 30 janvier 2015 venait solder le mois de janvier. Ainsi, l’appelant a payé le loyer de février 2015 le 5 mars 2015, le loyer de mars 2015 le 9 avril 2015 et le loyer d’avril 2015 le 8 mai 2015. Il a ensuite payé le loyer de mai 2015 le 19 juin 2015 et le loyer de juin 2015 le 31 juillet 2015, étant précisé qu’un ordre de paiement prévu pour le</w:t>
      </w:r>
    </w:p>
    <w:p>
      <w:r>
        <w:rPr>
          <w:b/>
        </w:rPr>
        <w:t>E. 7</w:t>
      </w:r>
    </w:p>
    <w:p>
      <w:r>
        <w:t>novembre 2013, confirmant l’arrêt CACI du 2 octobre 2013/518).</w:t>
      </w:r>
    </w:p>
    <w:p>
      <w:r>
        <w:rPr>
          <w:b/>
        </w:rPr>
        <w:t>E. 8</w:t>
      </w:r>
    </w:p>
    <w:p>
      <w:r>
        <w:t>juillet 2015 n’a pas pu être exécuté. La demeure de l’appelant est ainsi corroborée par le laps de temps qui s’est écoulé entre son paiement du 8 mai 2015, celui du 19 juin 2015 et enfin celui du 31 juillet 2015, alors que l’avis comminatoire – dont la teneur n’a au demeurant pas été contestée – datait du 9 juin 2015 et que le délai de trente jours imparti dans cet avis venait à échéance le 10 juillet 2015. Au surplus, la demeure de l’appelant est attestée par les trois paiements effectués au mois d’août 2015, soit le 3 août 2015 pour le mois de juillet 2015, le 20 août pour le mois d’août 2015 et, enfin, le 31 août pour le mois de septembre 2015. Ce procédé a du reste permis à l’appelant de reprendre dès cette dernière date le paiement par avance des loyers des mois suivants. Il s’ensuit que l’avis comminatoire du 9 juin 2015, tout comme la résiliation de bail notifiée le 15 juillet 2015, étaient fondés, dès lors que les loyers en souffrance pour les mois de mai et juin 2015 n’ont pas été réglés à l’échéance du délai comminatoire le 10 juillet 2015. 4. Il résulte de ce qui précède que l’appel doit être rejeté et l’ordonnance entreprise confirmée. Le délai de libération des locaux étant échu du fait de l’effet suspensif lié à l’appel (art. 315 al. 1 CPC), il convient de renvoyer la cause au premier juge pour qu’il fixe à l’appelant un nouveau délai pour libérer les locaux litigieux. Les frais judiciaires de deuxième instance, arrêtés à 400 fr. (art. 62 al. 3 et 69 al. 1 TFJC [tarif des frais judiciaires en matière civile du 28 septembre 2010 ; RSV 270.11.5]), seront mis à la charge de l’appelant, qui succombe (art. 106 al. 1 CPC). L’appelant doit à l’intimé de pleins dépens, qui peuvent être arrêtés à 800 fr., débours et TVA compris (art. 12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