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235 vom 29. Februar 2016</w:t>
      </w:r>
    </w:p>
    <w:p>
      <w:r>
        <w:t>VD Tribunal cantonal, 2016-02-29, FR</w:t>
      </w:r>
    </w:p>
    <w:p>
      <w:r>
        <w:rPr>
          <w:b/>
        </w:rPr>
        <w:t xml:space="preserve">Quelle: </w:t>
      </w:r>
      <w:r>
        <w:t>https://mcp.opencaselaw.ch/entscheid/vd_findinfo_HC___2016___235</w:t>
      </w:r>
    </w:p>
    <w:p>
      <w:r>
        <w:t>FR: VD_FINDINFO HC / 2016 / 235 du 29 février 2016</w:t>
      </w:r>
    </w:p>
    <w:p>
      <w:r>
        <w:t>IT: VD_FINDINFO HC / 2016 / 235 del 29 febbraio 2016</w:t>
      </w:r>
    </w:p>
    <w:p>
      <w:pPr>
        <w:pStyle w:val="Heading2"/>
      </w:pPr>
      <w:r>
        <w:t>Regeste</w:t>
      </w:r>
    </w:p>
    <w:p>
      <w:r>
        <w:t>DROIT D'ÊTRE ENTENDU, INDEMNITÉ{EN GÉNÉRAL}, ASSISTANCE JUDICIAIRE, DÉFENSE D'OFFICE, ADMISSION DE LA DEMANDE | 29 Cst., 110 CPC (CH), 122 al. 1 let. a CPC (CH)</w:t>
      </w:r>
    </w:p>
    <w:p>
      <w:pPr>
        <w:pStyle w:val="Heading2"/>
      </w:pPr>
      <w:r>
        <w:t>Erwägungen</w:t>
      </w:r>
    </w:p>
    <w:p>
      <w:r>
        <w:rPr>
          <w:b/>
        </w:rPr>
        <w:t>E. 1</w:t>
      </w:r>
    </w:p>
    <w:p>
      <w:r>
        <w:t>Aux termes de l’art. 110 CPC (Code de procédure civile suisse du 19 décembre 2008 ; RS 272), la décision arrêtant la rémunération du conseil d’office en application de l’art. 122 al. 1 let. a CPC est une décision sur frais qui ne peut être attaquée séparément que par un recours au sens de l’art. 319 let. b ch. 1 CPC (Tappy, CPC commenté, 2011, n. 21 ad art. 122 CPC ; cf. notamment CREC 21 décembre 2015/438 ; CREC 15 avril 2014/140 ; CREC 13 février 2013/52). Lorsque la décision a été rendue en procédure sommaire, par exemple pour statuer sur l’indemnité du conseil d’office (art. 119 al. 3 CPC), le recours, écrit et motivé, doit être déposé dans un délai de dix jours à compter de la notification (art. 321 al. 2 CPC), auprès de l’instance de recours, soit la Chambre des recours civile (73 al. 1 LOJV [loi vaudoise d'organisation judiciaire du 12 décembre 1979 ; RSV 173.01]). Dans la mesure où sa propre situation est affectée, le conseil juridique dispose à titre personnel d’un droit de recours au sujet de la rémunération équitable accordée (ATF 131 V 153 consid. 1 ; Tappy, op. cit., n. 22 ad art. 122 CPC). En l'espèce, formé en temps utile par une partie qui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 II, 2 e éd., 2010, n. 2508). S'agissant des faits, toutefois, le pouvoir d'examen dont dispose l'autorité saisie d'un recours est plus restreint qu'en appel, le grief de la constatation manifestement inexacte des faits se recoupant avec celui de l'arbitraire au sens de l'art. 9 Cst. (Jeandin, CPC commenté, op. cit., nn. 4 et 5 ad art. 321 CPC et les réf. cit.).</w:t>
      </w:r>
    </w:p>
    <w:p>
      <w:r>
        <w:rPr>
          <w:b/>
        </w:rPr>
        <w:t>E. 3.1</w:t>
      </w:r>
    </w:p>
    <w:p>
      <w:r>
        <w:t>La recourante reproche au premier juge d'avoir réduit de manière excessive – à savoir de 15.4 heures – les heures de travail annoncées dans sa liste des opérations intermédiaire, n’admettant au final qu’un nombre total de 45 heures. Elle fait notamment valoir que l’existence de la procédure d’appel ne l’a pas empêchée de poursuivre son activité de conseil, en l’occurrence en rédigeant sept courriers et en effectuant un téléphone dans le cadre de la procédure de divorce au fond. La recourante fait également valoir que le dossier n’est pas dénué de complexité, que ses interventions étaient souvent liées à des démarches de la partie adverse et conteste avoir effectué des opérations inutiles ou excessives.</w:t>
      </w:r>
    </w:p>
    <w:p>
      <w:r>
        <w:rPr>
          <w:b/>
        </w:rPr>
        <w:t>E. 3.2</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(Rüegg, Basler Kommentar, op. cit., nn. 5 à 7 ad art. 122 CPC).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Les débours sont rémunérés sur la base de la liste produite à leur appui, ou, en l’absence d’une telle liste, par l’allocation d’un montant forfaitaire de 50 fr. pour une affaire transigée avant l’ouverture d’action, de 100 fr. dans les autres cas (art. 3 al. 3 RAJ). Les frais courants, notamment de photocopies, font partie des frais généraux de l’avocat et ne peuvent en principe être facturés en sus à titre de débours (CREC 14 novembre 2013/377). Il en va de même des frais d’envoi de « mémos » ou cartes de compliments, à raison de 5 minutes chacune, étant donné que les avis de transmission ou « mémos » ne peuvent pas être pris en compte à titre d’activité déployée par l’avocat, s’agissant d’un pur travail de secrétariat (CREC 5 janvier 2015/10 ; CREC 3 septembre 2014/312 ; Juge délégué CACI 18 août 2014/436 consid. 3 ; CACI 29 juillet 2014/235 consid. 6).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(CREC 25 janvier 2013/29, in JdT 2013 II 35 ss ; TF 5P.462/2002 du 30 janvier 2003).</w:t>
      </w:r>
    </w:p>
    <w:p>
      <w:r>
        <w:rPr>
          <w:b/>
        </w:rPr>
        <w:t>E. 3.3</w:t>
      </w:r>
    </w:p>
    <w:p>
      <w:r>
        <w:t>Le droit d’être entendu est une garantie constitutionnelle (art. 29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(TF 5D_28/2014 du 26 mai 2014 consid. 2.2 ; TF 5A_39/2014 du 12 mai 2014 consid. 4.2).</w:t>
      </w:r>
    </w:p>
    <w:p>
      <w:r>
        <w:rPr>
          <w:b/>
        </w:rPr>
        <w:t>E. 3.4</w:t>
      </w:r>
    </w:p>
    <w:p>
      <w:r>
        <w:t>En l’espèce, le premier juge n’a pas exposé les raisons pour lesquelles il convenait, selon lui, de ramener le temps consacré au dossier par la recourante à 45 heures, relevant uniquement que, « globalement, pour les opérations accomplies en première instance du 1 er janvier 2015 au 6 novembre 2015, un total de 45 heures paraît largement suffisant ». Il n’a ainsi pas expliqué en quoi il se justifiait de réduire le temps décompté de 15.4 heures. Le retranchement des opérations effectuées pendant la période durant laquelle le dossier était en mains du Juge délégué de la Cour d’appel civile ne suffit pas à justifier arithmétiquement cette déduction. Au surplus, ainsi que le relève à bon escient la recourante, le fait que le dossier était pendant en appel n’est pas de nature à empêcher que des opérations soient effectuées. En outre, on ne saurait présumer sans autre motif que dites opérations n’auraient pas été nécessaires à l’avancement de la procédure, a fortiori lorsque l’appel a porté, comme en l’espèce, sur des mesures provisionnelles. Ce défaut de motivation constitue une violation du droit d’être entendue de la recourante qui ne peut en l’espèce être guéri par la Chambre de céans, dès lors que le premier juge est le mieux placé pour apprécier le temps nécessaire à l’accomplissement du mandat d’office, de sorte que la cause doit lui être renvoyée afin qu’il statue à nouveau.</w:t>
      </w:r>
    </w:p>
    <w:p>
      <w:r>
        <w:rPr>
          <w:b/>
        </w:rPr>
        <w:t>E. 4</w:t>
      </w:r>
    </w:p>
    <w:p>
      <w:r>
        <w:t>En définitive, il résulte de ce qui précède que le recours doit être admis, la décision attaquée annulée au chiffre I. de son dispositif et la cause renvoyée à l’autorité de première instance pour une nouvelle décision (art. 327 al. 3 let. a CPC). Les frais judiciaire de deuxième instance, arrêtés à 100 fr. (art. 69 al. 1 et 70 al. 3 TFJC [Tarif des frais judiciaires en matière civile du 28 septembre 2010 ; RSV 270.11.5]), seront laissés à la charge de l’Etat (art. 107 al. 2 CPC). La recourante ayant agi dans sa propre cause, il n’y a pas lieu à l’allocation de dépens (art. 95 al. 3 let. c CPC a contrario). Par ces motifs, la Chambre des recours civile du Tribunal cantonal, prononce : I. Le recours est admis. II. Le prononcé du 12 novembre 2015 est annulé au chiffre I. de son dispositif et la cause est renvoyée au Président du Tribunal civil de l’arrondissement de l’Est vaudois pour nouvelle décision. III. Les frais judiciaires de deuxième instance, arrêtés à 100 fr. (cent francs), sont laissés à la charge de l’Etat. IV. L’arrêt est exécutoire Le président :               La greffière : Du L'arrêt qui précède, dont la rédaction a été approuvée à huis clos, est notifié à : ‑ Me L.________, ‑ Mme A.W.________.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