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234 vom 2. März 2016</w:t>
      </w:r>
    </w:p>
    <w:p>
      <w:r>
        <w:t>VD Tribunal cantonal, 2016-03-02, FR</w:t>
      </w:r>
    </w:p>
    <w:p>
      <w:r>
        <w:rPr>
          <w:b/>
        </w:rPr>
        <w:t xml:space="preserve">Quelle: </w:t>
      </w:r>
      <w:r>
        <w:t>https://mcp.opencaselaw.ch/entscheid/vd_findinfo_HC___2016___234</w:t>
      </w:r>
    </w:p>
    <w:p>
      <w:r>
        <w:t>FR: VD_FINDINFO HC / 2016 / 234 du 2 mars 2016</w:t>
      </w:r>
    </w:p>
    <w:p>
      <w:r>
        <w:t>IT: VD_FINDINFO HC / 2016 / 234 del 2 marzo 2016</w:t>
      </w:r>
    </w:p>
    <w:p>
      <w:pPr>
        <w:pStyle w:val="Heading2"/>
      </w:pPr>
      <w:r>
        <w:t>Regeste</w:t>
      </w:r>
    </w:p>
    <w:p>
      <w:r>
        <w:t>DÉTENTION AUX FINS D'EXPULSION, PROCÈS DEVENU SANS OBJET, MESURE DE CONTRAINTE{DROIT DES ÉTRANGERS} | 76 al. 1 let. b ch. 3 LEtr, 76 al. 1 let. b ch. 4 LEtr, 79 LEtr, 242 CPC (CH)</w:t>
      </w:r>
    </w:p>
    <w:p>
      <w:pPr>
        <w:pStyle w:val="Heading2"/>
      </w:pPr>
      <w:r>
        <w:t>Erwägungen</w:t>
      </w:r>
    </w:p>
    <w:p>
      <w:r>
        <w:rPr>
          <w:b/>
        </w:rPr>
        <w:t>E. 2</w:t>
      </w:r>
    </w:p>
    <w:p>
      <w:r>
        <w:t>Selon l'art. 30 LVLEtr (loi du 18 décembre 2007 d'application dans le Canton de Vaud de la législation fédérale sur les étrangers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En l’espèce, le recours tendant à la levée de la détention administrative d’O.________, n’a plus d’objet, celui-ci ayant quitté la Suisse le 23 février 2016 à destination de Lagos (Nigéria).</w:t>
      </w:r>
    </w:p>
    <w:p>
      <w:r>
        <w:rPr>
          <w:b/>
        </w:rPr>
        <w:t>E. 3</w:t>
      </w:r>
    </w:p>
    <w:p>
      <w:r>
        <w:t>Cela étant, O.________ a implicitement invoqué, à l’appui de son recours, une violation de l’art. 5 CEDH (Convention du 4 novembre 1954 de sauvegarde des droits de l'homme et des libertés fondamentales; RS 0.101) s'agissant de la détention prononcée par le Juge de paix, de même qu’une violation du principe de la proportionnalité.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Aux termes de l’art. 76 al. 1 let. b ch. 3 et 4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 En l’espèce, le recourant, célibataire et sans enfant, a fait l’objet d’une décision de renvoi de la Suisse rendue le 28 avril 2015 par l’Office fédéral des migrations. Cette décision, devenue définitive et exécutoire à la suite d’un arrêt rendu par le Tribunal administratif fédéral le 8 juillet 2015, était assortie d’un délai de départ de l’intéressé au plus tard le jour suivant son entrée en force, faute de quoi il s’exposait à des mesures de contrainte. En l’occurrence, un délai de départ au 4 août 2015 a été imparti à O.________ pour quitter la Suisse. Le même jour, le SPOP a averti O.________ que s’il ne quittait pas la Suisse dans les meilleurs délais, il pourrait être placé en détention administrative dans le cadre des mesures de contrainte. Le</w:t>
      </w:r>
    </w:p>
    <w:p>
      <w:r>
        <w:rPr>
          <w:b/>
        </w:rPr>
        <w:t>E. 7</w:t>
      </w:r>
    </w:p>
    <w:p>
      <w:r>
        <w:t>janvier 2016, la disparition d’O.________ depuis le 17 novembre 2015 a été signalée au RIPOL. L’intéressé a été interpellé le 25 janvier 2016. Lors de son audition du 26 janvier 2016 par le Juge de paix, il a notamment déclaré être prêt à aller n’importe où si on le lui demandait et à collaborer avec les autorités si un vol était organisé pour lui à destination du Nigéria. Il n’a toutefois pas quitté la Suisse dans le délai qui lui avait été imparti et n’a ainsi pas respecté la décision de renvoi définitive et exécutoire prise à son encontre. C’est sans compter que l’intéressé a fait l’objet de deux condamnations pénales, l’une pour contravention à la LStup (loi fédérale sur les stupéfiants et les substances psychotropes du 3 octobre 1951 ; RS 812.121), l’autre pour séjour illégal, lors de son séjour en Suisse. Au vu des éléments qui précèdent, force est de constater qu’il existait des indices suffisants laissant entrevoir une soustraction au renvoi. La mise en détention, prononcée pour une durée de six mois, respectait le principe de la proportionnalité, de même que celui de célérité, dès lors que le recourant a été interpellé le 25 janvier 2016 et a finalement pu quitter la Suisse vingt-neuf jours plus tard, soit le 23 février 2016.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(art. 242 CPC [Code de procédure civile du 19 décembre 2008 ; RS 272]).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François Chanson a produit une liste de ses opérations, par laquelle il a annoncé avoir consacré 5 heures et 30 minutes à l’exécution de son mandat et avoir encouru des débours par 5 francs. Les heures facturées pour la constitution du dossier et pour le suivi du dossier n’ayant pas à être pris en considération, dès lors que ces deux postes font partie des frais généraux (CREC 3 septembre 2014/312 ; CREC 14 novembre 2013/377 ; CREC 2 octobre 2012/344), il convient de retenir 4 heures et 15 minutes de travail. Au tarif horaire de 180 fr. (art. 2 al. 1 let. a RAJ), l'indemnité d'office de Me François Chanson doit ainsi être arrêtée à 831 fr. 60, soit 765 fr. d’honoraires et 5 fr. de débours, TVA à 8 % par 61 fr. 60 en sus. Par ces motifs, la Chambre des recours civile du Tribunal cantonal, prononce : I. Le recours est sans objet. II. La cause est rayée du rôle. III. L'indemnité d'office de Me François Chanson, conseil du recourant, est arrêtée à 831 fr. 60 (huit cent trente et un francs et soixante centimes), TVA et débours compris. IV. L’arrêt, rendu sans frais, est exécutoire. Le président :               La greffière : Du L'arrêt qui précède, dont la rédaction a été approuvée à huis clos, est notifié à : ‑ Me François Chanson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