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233 vom 1. März 2016</w:t>
      </w:r>
    </w:p>
    <w:p>
      <w:r>
        <w:t>VD Tribunal cantonal, 2016-03-01, FR</w:t>
      </w:r>
    </w:p>
    <w:p>
      <w:r>
        <w:rPr>
          <w:b/>
        </w:rPr>
        <w:t xml:space="preserve">Quelle: </w:t>
      </w:r>
      <w:r>
        <w:t>https://mcp.opencaselaw.ch/entscheid/vd_findinfo_HC___2016___233</w:t>
      </w:r>
    </w:p>
    <w:p>
      <w:r>
        <w:t>FR: VD_FINDINFO HC / 2016 / 233 du 1 mars 2016</w:t>
      </w:r>
    </w:p>
    <w:p>
      <w:r>
        <w:t>IT: VD_FINDINFO HC / 2016 / 233 del 1 marzo 2016</w:t>
      </w:r>
    </w:p>
    <w:p>
      <w:pPr>
        <w:pStyle w:val="Heading2"/>
      </w:pPr>
      <w:r>
        <w:t>Regeste</w:t>
      </w:r>
    </w:p>
    <w:p>
      <w:r>
        <w:t>CAS CLAIR, SIGNATURE NUMÉRIQUE, SOMMATION | 14 CO, 257d al. 2 CO, 86 CO, 257 al. 1 CPC (CH)</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les loyers mensuels étant de 2'069 fr. au total, la valeur litigieuse est sans conteste supérieure à 10'000 fr., de sorte que la voie de l'appel est ouverte (art. 308 al.</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CPC).</w:t>
      </w:r>
    </w:p>
    <w:p>
      <w:r>
        <w:rPr>
          <w:b/>
        </w:rPr>
        <w:t>E. 2.1</w:t>
      </w:r>
    </w:p>
    <w:p>
      <w:r>
        <w:t>L'appel peut être formé pour violation du droit et pour constatation inexacte des faits (art. 310 CPC). Cela étant, selon la jurisprudence du Tribunal fédéral, la nature particulière de la procédure sommaire pour cas clair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cf. CACI 25 novembre 2014/607 consid. 3a ; CACI 6 mars 2014/102 consid. 2b ; CACI 10 juin 2013/289 consid. 4a ; CACI 6 mai 2013/237 consid. 5a).</w:t>
      </w:r>
    </w:p>
    <w:p>
      <w:r>
        <w:rPr>
          <w:b/>
        </w:rPr>
        <w:t>E. 2.2</w:t>
      </w:r>
    </w:p>
    <w:p>
      <w:r>
        <w:t>En l’espèce, la pièce nouvelle produite par l’appelante, soit une quittance attestant du paiement des loyers pour les mois de janvier et février 2016 par le Centre social régional de Nyon, est irrecevable. Elle est au demeurant sans pertinence sur le sort de la cause.</w:t>
      </w:r>
    </w:p>
    <w:p>
      <w:r>
        <w:rPr>
          <w:b/>
        </w:rPr>
        <w:t>E. 3</w:t>
      </w:r>
    </w:p>
    <w:p>
      <w:r>
        <w:t>L’appelante conteste le fait que la situation litigieuse relèverait d’un cas clair au sens de la loi.</w:t>
      </w:r>
    </w:p>
    <w:p>
      <w:r>
        <w:rPr>
          <w:b/>
        </w:rPr>
        <w:t>E. 3.1.1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4A_627/2013 du 8 avril 2014 consid. 2 ; TF 4A 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l'ATF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CPC commenté, Bâle 2011, n. 24 ad art. 257 CPC ; CACI 2 janvier 2012/1 ; CACI 18 août 2011/199 consid. 5b/bb, in JdT 2011 III 146).</w:t>
      </w:r>
    </w:p>
    <w:p>
      <w:r>
        <w:rPr>
          <w:b/>
        </w:rPr>
        <w:t>E. 3.1.2</w:t>
      </w:r>
    </w:p>
    <w:p>
      <w:r>
        <w:t>L'avis comminatoire de l'art. 257d al. 1 CO est subordonné à l'exigence de la forme écrite, sous peine de nullité (Wessner, Commentaire pratique, Droit du bail à loyer, 2010, n. 16 ad art. 257d CO ; Higi, Zürcher Kommentar, 1994, n. 35 ad art. 257d CO). Il doit ainsi respecter le prescrit des art. 12 à 15 CO, en particulier s'agissant des exigences relatives à la signature (Bisang et al., SVIT-Kommentar, 2008, n. 24 ad art. 257d CO). Aux termes de l'art. 14 al. 1 CO, la signature doit être écrite à la main par celui qui s'oblige. Celle qui procède de quelque moyen mécanique n'est tenue pour suffisante que dans les affaires où elle est admise par l'usage, notamment lorsqu'il s'agit de signer des papiers-valeurs émis en nombre considérable (art. 14 al. 2 CO). Le recours à la signature par fac-simile n'est admis que très restrictivement. On ne saurait à cet égard reconnaître l'existence d'un usage lorsque la loi impose la forme écrite, de sorte que l'art. 14 al. 2 CO ne trouve jamais application dans ces cas (Schönenberger/Jäggi, Zürcher Kommentar, 1973, n. 14 ad art. 14 et 15 CO). Le Tribunal fédéral a en particulier nié l'existence d'un usage au sens de l'art. 14 al. 2 CO dans le cas d'une majoration de loyer notifiée au moyen d'une formule officielle (cf. art. 269d al. 1 CO) comportant une signature par fac-simile (TF 4C.110/2003 du 8 juillet 2003 consid. 3.4 et 3.5).</w:t>
      </w:r>
    </w:p>
    <w:p>
      <w:r>
        <w:rPr>
          <w:b/>
        </w:rPr>
        <w:t>E. 3.1.3</w:t>
      </w:r>
    </w:p>
    <w:p>
      <w:r>
        <w:t>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137 V 82 consid. 5.6 ; ATF 133 III 497 consid. 5.1). Seule une atteinte portée délibérément et de mauvaise foi aux droits privés d'une partie constitue l'exercice abusif d'un droit (ATF 127 III 506 consid. 4a).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 De même, l'abus de droit a également été opposé à un couple de locataires qui se prévalaient du fait que seule une des deux mises en demeure qui avaient été adressées à chacun d'eux comportait une signature manuscrite, l'autre exemplaire n'en étant apparemment pas pourvu. Le Tribunal fédéral a rappelé à cet égard que le but de la mise en demeure de l'art. 257d al. 1 CO était de donner un délai suffisant au locataire pour régler le solde dû et de lui offrir une dernière chance d'échapper aux conséquences pénibles d'une résiliation, en ce sens qu'il doit lui être clairement indiqué quel montant il doit verser et dans quel délai il doit le faire s'il entend éviter la résiliation de son contrat de bail. Dès lors que l'une des comminations portait la signature manuscrite, on devait admettre que l'identité de l'auteur de la manifestation de volonté n'était pas douteuse et que sa volonté était clairement exprimée (TF 4A 350/2015 du 25 août 2015 consid. 4.1.2).</w:t>
      </w:r>
    </w:p>
    <w:p>
      <w:r>
        <w:rPr>
          <w:b/>
        </w:rPr>
        <w:t>E. 3.2</w:t>
      </w:r>
    </w:p>
    <w:p>
      <w:r>
        <w:t>L’appelante fait tout d’abord valoir que l’avis comminatoire que l’intimée lui a adressé le 15 juin 2015 serait nul et ne saurait déployer des effets dans la mesure où il ne respecterait pas les exigences de la forme écrite imposée par la loi. En l'espèce, le premier juge a reconnu l'existence d'un cas clair au sens de l'art. 257 CPC, considérant implicitement que la partie locataire n'avait pas apporté d'éléments suffisants permettant d'exclure l'application de cette disposition. Cela revient à estimer en particulier que, contrairement à ce que la partie locataire avait soutenu dans ses déterminations du 14 octobre 2015, la mise en demeure qui lui avait été adressée le 15 juin 2015 était valable. Or il est constant que cette mise en demeure ne comporte pas de signature manuscrite. L'intimée, qui ne conteste pas ce fait, se prévaut en vain de l’art. 14 al. 2bis CO, selon lequel la signature électronique qualifiée, basée sur un certificat qualifié émanant d’un fournisseur de services de certification reconnu au sens de la loi du 19 décembre 2003 sur la signature électronique, est assimilée à la signature manuscrite, dès lors que l’on est ici en présence de signatures en fac-simile et non de signatures électroniques qualifiées au sens de cette disposition. Ainsi, au regard de la jurisprudence fédérale précitée, les arguments avancés par l'appelante quant à une éventuelle nullité de la mise en demeure n'étaient pas sans pertinence. D'une part, le Tribunal fédéral a déjà nié l'existence d'un usage au sens de l'art. 14 al. 2 CO dans le cadre d'une majoration de loyer signifiée au moyen d'une formule officielle munie uniquement de signatures en fac-simile (cf. consid. 3.1.2 supra). D'autre part, quand bien même le Tribunal fédéral a par exemple déjà reconnu l'existence d'un abus de droit à invoquer un vice de forme lorsque seul un exemplaire d'une mise en demeure adressée à des époux n'était pas muni d'une signature manuscrite (cf. consid. 3.1.3 supra), il ne s'est cependant pas encore prononcé sur l'existence éventuelle d'un abus de droit à invoquer un vice de forme s'agissant d'une mise en demeure au sens de l'art. 257d al. 1 CO comportant uniquement des signatures en fac-simile. Dans un arrêt du 1 er décembre 2015, la Cour de céans a nié l'existence d'un tel abus de droit (CACI 1 er décembre 2015/645). Il s'ensuit que la situation juridique relative à la validité de la mise en demeure ne pouvait être considérée comme claire sur la base d'une doctrine ou d'une jurisprudence éprouvée. Dans ces circonstances, le premier juge aurait dû constater l'irrecevabilité de la requête en cas clair déposée par l'intimée le 11 septembre 2015.</w:t>
      </w:r>
    </w:p>
    <w:p>
      <w:r>
        <w:rPr>
          <w:b/>
        </w:rPr>
        <w:t>E. 3.3</w:t>
      </w:r>
    </w:p>
    <w:p>
      <w:r>
        <w:t>L’appelante soutient en outre avoir procédé au paiement du loyer en souffrance le 10 juillet 2015, soit avant l'échéance du délai fixé par l'avis comminatoire du 15 juin 2015. Il ressort du dossier, en particulier de l'annexe du courrier du 28 octobre 2015 adressé par le mandataire de l'intimée au Juge de paix, qu'un montant de 2'069 fr. a bien été payé le 10 juillet 2015. Le relevé de compte interne de la gérance indique cependant que ce montant a été imputé au paiement du loyer du mois de mai 2015, et non au paiement du loyer de juin 2015 qui faisait l'objet de la mise en demeure. L’appelante avait tout intérêt à affecter en premier lieu le paiement à la dette la plus urgente, ce choix lui appartenant (art. 86 al. 1 CO). Elle n'a cependant pas effectué de déclaration au sens de l'art. 86 al. 2 CO tendant à l'imputation du paiement sur le loyer litigieux du mois de juin 2015. En l'absence de détermination du débiteur à cet égard, le créancier doit exercer son choix par une mention expresse sous condition que le débiteur ne s'y oppose pas immédiatement (Loertscher, Commentaire romand, Code des obligations I, 2 e éd., Bâle 2012, n. 6 et 7 ad art. 86 CO). Si le fardeau de la preuve relative à la déclaration incombe au débiteur, le créancier doit notamment établir la mention de l'imputation (Loertscher, op. cit., n. 9 ad art. 86 CO ; CACI 2 février 2016/68 consid. 3.5). Or l'intimée n'indique pas avoir établi cette mention, puisqu'elle ne se prévaut d'aucune déclaration expresse à ce sujet. Ainsi, sous cet angle également, il appert que la situation juridique n'est pas aussi évidente que le soutient l'intimée et que les conditions d'application de la procédure en cas clair n'étaient pas réalisées.</w:t>
      </w:r>
    </w:p>
    <w:p>
      <w:r>
        <w:rPr>
          <w:b/>
        </w:rPr>
        <w:t>E. 4</w:t>
      </w:r>
    </w:p>
    <w:p>
      <w:r>
        <w:t>En définitive, l'appel doit être admis et l’ordonnance réformée dans le sens des considérants qui précèdent. Les frais judiciaires de deuxième instance, arrêtés à 200 fr. (art. 62 al. 3 et 69 al. 1 TFJC [tarif des frais judiciaires civils du 28 septembre 2010 ; RSV 270.11.5]), seront mis à la charge de l'intimée, qui succombe (art. 106 al. 1 CPC), l'avance de frais effectuée par l'appelante lui étant remboursée par l'intimée. Il n'y a pas lieu à l'allocation de dépens, l'appelante n'étant pas assistée d'un mandataire professionnel (cf. art. 95 al. 3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