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229 vom 3. März 2016</w:t>
      </w:r>
    </w:p>
    <w:p>
      <w:r>
        <w:t>VD Tribunal cantonal, 2016-03-03, FR</w:t>
      </w:r>
    </w:p>
    <w:p>
      <w:r>
        <w:rPr>
          <w:b/>
        </w:rPr>
        <w:t xml:space="preserve">Quelle: </w:t>
      </w:r>
      <w:r>
        <w:t>https://mcp.opencaselaw.ch/entscheid/vd_findinfo_HC___2016___229</w:t>
      </w:r>
    </w:p>
    <w:p>
      <w:r>
        <w:t>FR: VD_FINDINFO HC / 2016 / 229 du 3 mars 2016</w:t>
      </w:r>
    </w:p>
    <w:p>
      <w:r>
        <w:t>IT: VD_FINDINFO HC / 2016 / 229 del 3 marzo 2016</w:t>
      </w:r>
    </w:p>
    <w:p>
      <w:pPr>
        <w:pStyle w:val="Heading2"/>
      </w:pPr>
      <w:r>
        <w:t>Regeste</w:t>
      </w:r>
    </w:p>
    <w:p>
      <w:r>
        <w:t>ASSISTANCE JUDICIAIRE, INDEMNITÉ ÉQUITABLE, PREMIÈRE INSTANCE | 122 al. 1 let. a CPC (CH)</w:t>
      </w:r>
    </w:p>
    <w:p>
      <w:pPr>
        <w:pStyle w:val="Heading2"/>
      </w:pPr>
      <w:r>
        <w:t>Erwägungen</w:t>
      </w:r>
    </w:p>
    <w:p>
      <w:r>
        <w:rPr>
          <w:b/>
        </w:rPr>
        <w:t>E. 1</w:t>
      </w:r>
    </w:p>
    <w:p>
      <w:r>
        <w:t>L’art. 110 CPC ouvre la voie du recours séparé de l’art. 319 let. b ch. 1 CPC contre les décisions fixant l’indemnité du conseil d’office, cette indemnité étant considérée comme des frais au sens de l’art. 95 CPC (CREC 15 avril 2014/140 ; CREC 13 février 2013/52 ; Tappy, CPC commenté, Bâle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 p. 503). En l’espèce, interjeté en temps utile par une partie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Berne 2014, n. 27 ad art. 97 LTF, p. 1117).</w:t>
      </w:r>
    </w:p>
    <w:p>
      <w:r>
        <w:rPr>
          <w:b/>
        </w:rPr>
        <w:t>E. 3.1</w:t>
      </w:r>
    </w:p>
    <w:p>
      <w:r>
        <w:t>Le recourant soutient que les heures annoncées dans le relevé des opérations sont « gonflés ou multipliés fois dix (sic) ». Il affirme qu'il n'a eu qu'un entretien de 20 minutes avec son avocate et que celle-ci a participé à une audience qui a duré 40 minutes.</w:t>
      </w:r>
    </w:p>
    <w:p>
      <w:r>
        <w:rPr>
          <w:b/>
        </w:rPr>
        <w:t>E. 3.2</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2 e éd., 2013, nn. 5 à 7 ad art. 122 CPC, pp. 683-684). Pour fixer la quotité de l'indemnité du conseil d'office, l'autorité cantonale doit s'inspirer des critères applicables à la modération des honoraires d'avocat (Donzallaz, Loi sur le Tribunal fédéral, Commentaire, 2008, n. 1775 ad art. 64 LTF ; ATF 122 I 1 consid. 3a). Dans le canton de Vaud, l'art. 2 al. 1 RAJ (règlement du 7 décembre 2010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(let. a) et de 110 fr. pour un avocat-stagiaire (let. b).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(CREC 2 juin 2015/208 consid. 3b/ba).</w:t>
      </w:r>
    </w:p>
    <w:p>
      <w:r>
        <w:rPr>
          <w:b/>
        </w:rPr>
        <w:t>E. 3.3</w:t>
      </w:r>
    </w:p>
    <w:p>
      <w:r>
        <w:t>En l'espèce, c'est en vain que le recourant demande la réduction du montant de l'indemnité d'office. Le premier juge a en effet statué sur la base d'un relevé détaillé des opérations fourni par l'avocate d'office et le recourant perd de vue que de nombreuses opérations ont été accomplies hors sa présence et qu'elles étaient nécessaires à l'accomplissement du mandat. Il n'y a donc aucune raison de s'écarter des opérations retenues en première instance, d'autant que le recourant se borne à les contester sans motiver en aucune manière le caractère manifestement erroné des faits qui auraient été retenus.</w:t>
      </w:r>
    </w:p>
    <w:p>
      <w:r>
        <w:rPr>
          <w:b/>
        </w:rPr>
        <w:t>E. 4</w:t>
      </w:r>
    </w:p>
    <w:p>
      <w:r>
        <w:t>Il s'ensuit que le recours doit être rejeté selon le mode procédural de l'art. 322 al. 1 CPC et le prononcé entrepris confirmé. Les frais judiciaires de deuxième instance, arrêtés à 100 fr. (art. 69 al. 1 et 70 al. 3 TFJC [tarif des frais judiciaires en matière civile du 28 septembre 2010 ; RSV 270.11.5]), sont mis à la charge du recourant, qui succombe (art. 106 al. 1 CPC). Il n'y a pas matière à l'allocation de dépens.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A.H.________. IV. L'arrêt motivé est exécutoire. Le président :               La greffière : Du 3 mars 2016 Le dispositif de l'arrêt qui précède est communiqué par écrit aux intéressés. La greffière : Du L'arrêt qui précède, dont la rédaction a été approuvée à huis clos, est notifié en expédition complète, par l'envoi de photocopies, à : ‑ M. A.H.________ ‑ Me Catherine Merényi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