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206 vom 10. Februar 2016</w:t>
      </w:r>
    </w:p>
    <w:p>
      <w:r>
        <w:t>VD Tribunal cantonal, 2016-02-10, FR</w:t>
      </w:r>
    </w:p>
    <w:p>
      <w:r>
        <w:rPr>
          <w:b/>
        </w:rPr>
        <w:t xml:space="preserve">Quelle: </w:t>
      </w:r>
      <w:r>
        <w:t>https://mcp.opencaselaw.ch/entscheid/vd_findinfo_HC___2016___206</w:t>
      </w:r>
    </w:p>
    <w:p>
      <w:r>
        <w:t>FR: VD_FINDINFO HC / 2016 / 206 du 10 février 2016</w:t>
      </w:r>
    </w:p>
    <w:p>
      <w:r>
        <w:t>IT: VD_FINDINFO HC / 2016 / 206 del 10 febbraio 2016</w:t>
      </w:r>
    </w:p>
    <w:p>
      <w:pPr>
        <w:pStyle w:val="Heading2"/>
      </w:pPr>
      <w:r>
        <w:t>Regeste</w:t>
      </w:r>
    </w:p>
    <w:p>
      <w:r>
        <w:t>OBLIGATION D'ENTRETIEN, PERSONNE DIVORCÉE, REVENU HYPOTHÉTIQUE | 125 al. 1 CC</w:t>
      </w:r>
    </w:p>
    <w:p>
      <w:pPr>
        <w:pStyle w:val="Heading2"/>
      </w:pPr>
      <w:r>
        <w:t>Erwägungen</w:t>
      </w:r>
    </w:p>
    <w:p>
      <w:r>
        <w:rPr>
          <w:b/>
        </w:rPr>
        <w:t>E. 4</w:t>
      </w:r>
    </w:p>
    <w:p>
      <w:r>
        <w:t>L 'appelante conteste en outre qu'on puisse exiger d'elle au moment de la séparation déjà, et a fortiori au moment du divorce, de retrouver un emploi. Elle fait valoir qu'il n'a jamais été exigé d'elle qu'elle retrouve une capacité contributive durant la séparation et qu'elle n'a jamais été formellement invitée par une décision judiciaire à retrouver du travail avec l’avertissement qu’à défaut, un revenu hypothétique lui serait imputé.</w:t>
      </w:r>
    </w:p>
    <w:p>
      <w:r>
        <w:rPr>
          <w:b/>
        </w:rPr>
        <w:t>E. 4.1</w:t>
      </w:r>
    </w:p>
    <w:p>
      <w:r>
        <w:t>Lorsqu'il s'agit de fixer la contribution à l'entretien d'un conjoint dont la situation financière a été concrètement et durablement influencée par le mariage, l'art. 125 CC prescrit de procéder en trois étapes (ATF 137 III 102 ; ATF 134 III 145 consid. 4).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 savoir une dizaine d'années, la situation de l'époux bénéficiaire durant cette période est en principe déterminante (ATF 137 III 102 ; ATF 132 III 598 consid. 9.3). La date de la séparation définitive est déterminante (TF 5C.320/2006 du 1 er février 2007 reproduit in FamPra.ch 2007, p. 685). La deuxième étape relative à l'application de l'art. 125 CC consiste à examiner dans quelle mesure chacun des époux peut financer lui-même l'entretien arrêté à l'étape précédente du raisonnement (ATF 134 III 145 consid. 4 ; ATF 134 III 577 consid. 3). En cas de mariage de longue durée, on présume qu'il n'est pas possible d'exiger d'un époux qui a renoncé à exercer une activité lucrative pendant le mariage et qui a atteint l'âge de quarante-cinq ans au moment de la séparation de reprendre un travail ; cette limite d'âge ne doit toutefois pas être considérée comme une règle stricte (ATF 115 II 6 consid. 5a ; TF 5A_76/2009 du 4 mai 2009 consid. 6.2.3 ; TF 5C.320/2006 du 1 er février 2006 consid. 5.6.2.2). La présomption peut être renversée, en fonction d'autres éléments qui plaideraient en faveur de la prise ou de l'augmentation d'une activité lucrative (TF 5A_76/2009 du 4 mai 2009 consid. 6.2.5 ; TF 5A_6/2009 du 30 avril 2009 consid. 2.2 ; TF 5A_210/2008 du 14 novembre 2008 consid. 4.4 et 3.4, non publié in ATF 135 III 158). La limite d'âge tend à être augmentée à cinquante ans (TF 5A_71/2013 du 28 mars 2013 consid. 1.3). Lorsque le juge examine la possibilité d'imputer à l'un des époux un revenu hypothétique supérieur à celui obtenu effectivement, il doit examiner successivement les deux conditions suivantes : il doit avant tout juger si l'on peut raisonnablement exiger de cette personne qu'elle exerce une activité lucrative ou augmente celle-ci, eu égard, notamment, à sa formation, à son âge et à son état de santé ; il s'agit d'une question de droit.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 il s'agit là d'une question de fait (TF 5A_181/2014 du 4 juin 2014 consid. 4.3 et les références citées). Les principes relatifs au revenu hypothétique valent tant pour le débiteur que pour le créancier d'entretien; un revenu hypothétique peut en effet aussi être imputé au créancier d'entretien (TF 5A_838/2009 du 6 mai 2010, in FamPra.ch 2010 n° 45 p. 669; TF 5P. 63/2006 du 3 mai 2006 consid. 3.2). En principe, on accorde à la partie à qui l'on veut imputer un revenu hypothétique un certain délai pour s'organiser à ces fins (ATF 129 III 417 consid. 2.2;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w:t>
      </w:r>
    </w:p>
    <w:p>
      <w:r>
        <w:rPr>
          <w:b/>
        </w:rPr>
        <w:t>E. 4.2</w:t>
      </w:r>
    </w:p>
    <w:p>
      <w:r>
        <w:t>En l’espèce, le mariage des époux a duré dix ans et sept mois jusqu'à la séparation le 1 er mars 2007 et trois enfants sont issus de cette union, dont la dernière est née en 2001. L'appelante a réduit son activité professionnelle l'année du mariage dès lors que ses revenus ont passé d'environ 68'000 fr. en 1995 à 20'000 fr. en 1996. Elle a cessé de travailler à temps partiel cinq ans après la naissance du troisième enfant et trois mois avant la séparation du couple. Elle a ainsi travaillé pendant plus de dix ans durant le mariage. L’appelante n'a plus eu d'activité rémunérée depuis neuf ans aujourd'hui. Lors de la séparation, l'appelante était âgée de 46 ans. La convention signée par les parties à l'audience du 13 juin 2007 et ratifiée par le président du tribunal d’arrondissement pour valoir prononcé de mesures protectrices de l'union conjugale prévoyait que l'intimé contribuerait à l'entretien des siens par le régulier versement d'une pension mensuelle de 5'723 fr., allocations familiales comprises, payable treize fois l'an. Les parties ont convenu également que « la pension sera revue d'entente entre parties dès que Q.________ aura repris une activité lucrative ». Ainsi, l’appelante ne peut soutenir de bonne foi que lors de la séparation, le couple n'envisageait pas déjà qu'elle recommence à travailler. Dans sa demande du 2 mars 2009, A.E.________ n'a pas conclu au versement d'une contribution d'entretien pour son épouse et il a conclu, dans ses déterminations sur la réponse, au rejet de la conclusion reconventionnelle de cette dernière en versement d'une contribution mensuelle de 2'000 fr. jusqu'à l'âge de sa retraite. Le 27 octobre 2009, A.E.________ a déposé une requête de mesures provisionnelles tendant notamment à ce que la contribution d'entretien soit réduite à 3'720 fr., allocations familiales comprises, payable treize fois l'an, dès et y compris le 1 er novembre 2009. Dans son ordonnance de mesures provisionnelles du 22 décembre 2009, la présidente du tribunal d'arrondissement a rejeté cette requête, en considérant qu'« après deux ans de séparation et vu l'âge des trois enfants du couple, on ne peut pas encore considérer que l'intimée a une réelle capacité contributive et retenir à son encontre un revenu hypothétique. Par contre, on ne peut que vivement l'encourager à mettre tout en œuvre en vue de trouver une activité lucrative, au moins à temps partiel, et mieux rémunérée que son activité au centre de loisirs ». Le 6 novembre 2012, l'intimé a déposé une nouvelle requête de mesures provisionnelles tendant à réduire sa contribution d'entretien à 4'300 francs. L'appelante a, à l'audience du 21 décembre 2012, adhéré à une diminution à 5'000 fr., plus les allocations familiales, versée douze fois l'an. Les parties ont transigé et prévu une contribution de 4'850 fr., allocations familiales en sus, payable douze fois l'an dès le 1 er janvier 2013. En conséquence, la contribution due par l'intimé, pendant la procédure, pour les siens, soit son épouse et ses trois filles a été réduite de 5'723 fr., allocations familiales comprises, payable treize fois l'an, à 4'850 fr., allocations familiales non comprises, payable douze fois l'an. Ainsi, la nécessité que l'appelante retrouve du travail a été à l'évidence évoquée au cours de la procédure, contrairement à ce qu'elle allègue, même si ce point n'a plus été tranché par le juge après l'ordonnance de décembre 2009, dès lors que les parties avaient trouvé un accord. Au surplus, l'appelante perd de vue que la contribution d'entretien due pendant la procédure de divorce couvrait son entretien et celui des trois enfants des parties et pas seulement le sien. Il ressort par ailleurs du dossier que l'appelante, aujourd'hui âgée de 55 ans, a rédigé quatre offres d'emploi en 2008, une dizaine en 2009 et quelques-unes non datées. Alors même que c'est juste avant la séparation qu'elle a arrêté de travailler, elle n'a plus activement cherché du travail depuis lors. Même si au vu de l'âge des enfants lors de la séparation (9, 7 et</w:t>
      </w:r>
    </w:p>
    <w:p>
      <w:r>
        <w:rPr>
          <w:b/>
        </w:rPr>
        <w:t>E. 5</w:t>
      </w:r>
    </w:p>
    <w:p>
      <w:r>
        <w:t>À titre subsidiaire, l'appelante soutient que la pension devrait lui être versée sans limite dans le temps.</w:t>
      </w:r>
    </w:p>
    <w:p>
      <w:r>
        <w:rPr>
          <w:b/>
        </w:rPr>
        <w:t>E. 5.1</w:t>
      </w:r>
    </w:p>
    <w:p>
      <w:r>
        <w:t>Le versement d'une rente de divorce au-delà de la prise en charge des enfants se justifie lorsque le conjoint crédirentier n'est durablement pas en mesure de pourvoir à son entretien convenable, malgré une réinsertion complète dans la vie professionnelle (TF 5A_16/2014 du 20 juin 2014 consid. 3.4 ; ATF 137 III 102 consid. 4.3.1 ). En principe, l'époux a droit au maintien de son niveau de vie durant le mariage aussi longtemps que les capacités économiques du débirentier permettent de couvrir les besoins du conjoint. On admet que ces capacités diminuent à l'âge de la retraite du débirentier, de telle sorte que, dans la pratique, l'obligation d'entretien dure jusqu'à l'âge de la retraite du débirentier (TF 5A_894/2011 du 14 mai 2012 consid. 6.5.2 et réf.). Le Tribunal fédéral a ainsi notamment considéré conforme au droit fédéral le fait de l imiter la durée de la contribution notamment jusqu'au moment où la cadette des enfants aurai 16 ans, dès lors que la vie commune avait duré sept ans et que l'épouse aurait bénéficié du même niveau de vie pendant douze ans, à savoir pendant près du double de la vie commune; le droit fédéral n'exige pas dans un tel cas que le mari doive maintenir le niveau de vie de l'épouse jusqu'à sa retraite (ATF 137 III 102 consid 4.3.1). La Haute cour a également confirmé la limitation du versement d’une pension à quatre ans, soit au moment où le fils des parties atteindrait 16 ans, s'agissant d'une épouse âgée de 48 ans, dont le mariage avait duré 7 ans, même si son état de santé ne lui permettait pas une activité lucrative dépassant le 50% (TF 5A_23/2014 du 6 octobre 2014 consid. 4.4.3, FamPra.ch 2015 p. 221).</w:t>
      </w:r>
    </w:p>
    <w:p>
      <w:r>
        <w:rPr>
          <w:b/>
        </w:rPr>
        <w:t>E. 5.2</w:t>
      </w:r>
    </w:p>
    <w:p>
      <w:r>
        <w:t>En l’espèce, les premiers juges ont considéré qu'un délai de quatre ans, soit jusqu'en avril 2019, était suffisant pour permettre à l'appelante de recouvrer son entière indépendance financière. Cette analyse doit être confirmée compte tenu de la jurisprudence fédérale rappelée ci-dessus. En effet, les parties ont été mariées durant dix ans et sept mois et sont séparées depuis le 1 er mars 2007, soit depuis neuf ans. La limitation dans le temps arrêtée par les premiers juges correspond à la majorité de la fille cadette des parties. Or, conformément à la jurisprudence citée plus haut, on peut exiger la reprise d'une activité à 100 % dès les 16 ans du dernier enfant. Par conséquent, la limite fixée par les premiers juges à 2019 permet de tenir compte du fait qu'il est plus difficile à 58 ans, de changer de travail ou d'augmenter son taux d'activité. En outre, dans le cadre de la liquidation du régime matrimonial, l’appelante sera propriétaire de la villa familiale de [...] qu'elle pourra le cas échéant vendre ou louer. Il n'y a dès lors pas lieu de prévoir le versement d'une contribution jusqu'à la retraite de l'intimé ou pour une durée indéterminée.</w:t>
      </w:r>
    </w:p>
    <w:p>
      <w:r>
        <w:rPr>
          <w:b/>
        </w:rPr>
        <w:t>E. 6</w:t>
      </w:r>
    </w:p>
    <w:p>
      <w:r>
        <w:t>En définitive, l’appel doit être rejeté selon le mode procédural de l’art. 312 al. 1 CPC et le jugement rendu le 12 novembre 2015 confirmé. L’appel s’avérant dénué de toute chance de succès (art. 117 let. b et 119 al. 3 CPC), la requête d’assistance judiciaire de l’appelante doit être rejetée. Les frais judiciaires de deuxième instance, arrêtés à 1'200 fr. (art. 65 al. 2 TFJC [tarif des frais judiciaires civils du 28 septembre 2010 ; RSV 270.11.5), seront mis à la charge de l’appelante, qui succombe (art. 106 al. 1 CPC). Au surplus,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