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203 vom 4. Februar 2016</w:t>
      </w:r>
    </w:p>
    <w:p>
      <w:r>
        <w:t>VD Tribunal cantonal, 2016-02-04, FR</w:t>
      </w:r>
    </w:p>
    <w:p>
      <w:r>
        <w:rPr>
          <w:b/>
        </w:rPr>
        <w:t xml:space="preserve">Quelle: </w:t>
      </w:r>
      <w:r>
        <w:t>https://mcp.opencaselaw.ch/entscheid/vd_findinfo_HC___2016___203</w:t>
      </w:r>
    </w:p>
    <w:p>
      <w:r>
        <w:t>FR: VD_FINDINFO HC / 2016 / 203 du 4 février 2016</w:t>
      </w:r>
    </w:p>
    <w:p>
      <w:r>
        <w:t>IT: VD_FINDINFO HC / 2016 / 203 del 4 febbraio 2016</w:t>
      </w:r>
    </w:p>
    <w:p>
      <w:pPr>
        <w:pStyle w:val="Heading2"/>
      </w:pPr>
      <w:r>
        <w:t>Regeste</w:t>
      </w:r>
    </w:p>
    <w:p>
      <w:r>
        <w:t>AVOCAT D'OFFICE, INDEMNITÉ ÉQUITABLE | 122 al. 1 let. a CPC (CH)</w:t>
      </w:r>
    </w:p>
    <w:p>
      <w:pPr>
        <w:pStyle w:val="Heading2"/>
      </w:pPr>
      <w:r>
        <w:t>Erwägungen</w:t>
      </w:r>
    </w:p>
    <w:p>
      <w:r>
        <w:rPr>
          <w:b/>
        </w:rPr>
        <w:t>E. 1</w:t>
      </w:r>
    </w:p>
    <w:p>
      <w:r>
        <w:t>CPC). Toutes les pièces produites par le recourant figurent déjà au dossier de première instance, de sorte qu'il n'y a pas lieu de se déterminer sur leur recevabilité.</w:t>
      </w:r>
    </w:p>
    <w:p>
      <w:r>
        <w:rPr>
          <w:b/>
        </w:rPr>
        <w:t>E. 1.1</w:t>
      </w:r>
    </w:p>
    <w:p>
      <w:r>
        <w:t>Aux termes de l’art. 110 CPC (Code de procédure civile suisse du 19 décembre 2008 ; RS 272), la décision arrêtant la rémunération du conseil d’office en application de l’art. 122 al. 1 let. a CPC est une décision sur frais qui ne peut être attaquée séparément que par un recours au sens de l’art. 319 let. b ch. 1 CPC (Tappy, CPC commenté, 2011, n. 21 ad art. 122 CPC ; cf. notamment CREC 21 décembre 2015/438 ; CREC 15 avril 2014/140 ; CREC 13 février 2013/52). Lorsque la décision a été rendue en procédure sommaire, par exemple pour statuer sur l’indemnité du conseil d’office (art. 119 al. 3 CPC), le recours, écrit et motivé, doit être déposé dans un délai de dix jours à compter de la notification (art. 321 al. 2 CPC), auprès de l’instance de recours, soit la Chambre des recours civile (73 al. 1 LOJV [loi vaudoise d'organisation judiciaire du 12 décembre 1979 ; RSV 173.01]). Dans la mesure où sa propre situation est affectée, le conseil juridique dispose à titre personnel d’un droit de recours au sujet de la rémunération équitable accordée (ATF 131 V 153 consid. 1; Tappy, op. cit., n. 22 ad art. 122 CPC). En l'espèce, formé en temps utile par une partie qui a un intérêt digne de protection (art. 59 al. 2 let. a CPC), le recours est recevable.</w:t>
      </w:r>
    </w:p>
    <w:p>
      <w:r>
        <w:rPr>
          <w:b/>
        </w:rPr>
        <w:t>E. 1.2</w:t>
      </w:r>
    </w:p>
    <w:p>
      <w:r>
        <w:t>Les conclusions, les allégations de fait et les preuves nouvelles sont irrecevables (art. 326 al.</w:t>
      </w:r>
    </w:p>
    <w:p>
      <w:r>
        <w:rPr>
          <w:b/>
        </w:rPr>
        <w:t>E. 2</w:t>
      </w:r>
    </w:p>
    <w:p>
      <w:r>
        <w:t>e éd., 2013, n. 1 ad art. 320 CPC). Elle revoit librement les questions de droit soulevées par le recourant et peut substituer ses propres motifs à ceux de l'autorité précédente ou du recourant (Hohl, Procédure civile, t. II, 2 e éd., 2010, n. 2508). S'agissant des faits, toutefois, le pouvoir d'examen dont dispose l'autorité saisie d'un recours est plus restreint qu'en appel, le grief de la constatation manifestement inexacte des faits se recoupant avec celui de l'arbitraire au sens de l'art. 9 Cst. (Jeandin, CPC commenté, Bâle 2011, nn. 4 et 5 ad art. 321 CPC et les réf. cit.).</w:t>
      </w:r>
    </w:p>
    <w:p>
      <w:r>
        <w:rPr>
          <w:b/>
        </w:rPr>
        <w:t>E. 3</w:t>
      </w:r>
    </w:p>
    <w:p>
      <w:r>
        <w:t>Le recourant reproche au premier juge d'avoir réduit de manière excessive – à savoir de cinq heures et quarante-trois minutes – les heures de travail annoncées dans sa liste des opérations, n’admettant au final qu’un nombre total de 17 heures et 7 minutes.</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(Rüegg, Basler Kommentar, 2 e éd., 2013,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w:t>
      </w:r>
    </w:p>
    <w:p>
      <w:r>
        <w:rPr>
          <w:b/>
        </w:rPr>
        <w:t>E. 3.2</w:t>
      </w:r>
    </w:p>
    <w:p>
      <w:r>
        <w:t>Le recourant conteste la réduction de trente-huit minutes opérées par le premier juge s’agissant de la requête d’assistance judiciaire. En l’espèce, le premier juge a retenu un total de dix minutes de travail en lien avec cette demande, relevant qu’elle était en réalité constituée d’un formulaire-type de l’ordre judiciaire vaudois, accessible à tout un chacun, et d’une lettre d’accompagnement. Comme le relève à juste titre le recourant, la requête d’assistance judiciaire doit être remplie avec diligence et rigueur. Il y a toutefois lieu d’admettre que le formulaire en question ne contient que les données usuelles minimales, la situation de la cliente étant simple et ne laissant apparaître aucune particularité, notamment sous la rubrique fortune ou dettes. Au surplus, le recourant a facturé séparément l’examen des documents remis par sa cliente le même jour (22 juillet 2015 à 0,5) qu’il a pu reprendre dans la mesure utile dans la requête d’assistance judiciaire. Partant, l’appréciation du premier juge ne prête pas le flanc à la critique et doit être confirmée sur ce point.</w:t>
      </w:r>
    </w:p>
    <w:p>
      <w:r>
        <w:rPr>
          <w:b/>
        </w:rPr>
        <w:t>E. 3.3</w:t>
      </w:r>
    </w:p>
    <w:p>
      <w:r>
        <w:t>Le recourant revient également sur la réduction de quatre heures opérée par le premier juge en relation avec la rédaction de la demande en modification du jugement de divorce. Il soutient y avoir consacré les sept heures annoncées et non les trois heures finalement retenues. Le premier juge a constaté que la demande se composait de neuf pages, hors page de garde, et il a retenu une durée de vingt minutes par page, soit un total de trois heures. Cette réduction, qui correspond à plus de la moitié du temps annoncé par le recourant, est excessive et ne tient pas suffisamment compte des développements juridiques figurant dans la demande. Une durée de quatre heures et trente minutes paraît adéquate au vu des moyens soulevés. Le recours doit être admis sur ce point et le prononcé modifié en conséquence.</w:t>
      </w:r>
    </w:p>
    <w:p>
      <w:r>
        <w:rPr>
          <w:b/>
        </w:rPr>
        <w:t>E. 3.4</w:t>
      </w:r>
    </w:p>
    <w:p>
      <w:r>
        <w:t>Le recourant reproche en outre au premier juge d’avoir amputé de plus de 50% le temps qu’il avait consacré à la préparation et à la confection du bordereau de pièces produit en première instance. Le premier juge a considéré que l’heure annoncée pour la confection de ce bordereau était excessive et l’a réduite à trente minutes, rappelant que ce travail relevait d’un travail de secrétariat. Il ressort de la liste des opérations produite par le recourant que le poste en question est intitulé « confection d’un bordereau de pièces » ce qui relève effectivement d’un travail de pur secrétariat qui n’a pas à être supporté par l’assistance judiciaire. À cet égard, l’argument général avancé par le recourant en ce sens que nombre d’avocats pratiquant dans le canton de Vaud n’auraient pas de secrétaire n’y change rien, dès lors que cela réduirait les frais généraux d’autant et que cela ne justifierait nullement de faire supporter ce poste à l’assistance judiciaire. Dans la mesure où le premier juge a octroyé à ce poste trente minutes à titre d’examen des pièces alors que cela ne découlait nullement de son intitulé, son appréciation ne prête pas le flanc à la critique et doit être confirmée.</w:t>
      </w:r>
    </w:p>
    <w:p>
      <w:r>
        <w:rPr>
          <w:b/>
        </w:rPr>
        <w:t>E. 3.5</w:t>
      </w:r>
    </w:p>
    <w:p>
      <w:r>
        <w:t>Enfin, le recourant conteste la réduction de trente-huit minutes opérée par le premier juge s’agissant des courriers qu’il a adressés le 29 juillet 2015 au tribunal d’arrondissement. Le premier juge a retenu que trente minutes suffisaient à la rédaction de deux courriers de réquisition de pièces et que le simple courrier d’accompagnement de la demande ne nécessitait pas plus de dix minutes de travail. Là encore, au vu de l’expérience du recourant, de l’absence de difficulté particulière de la cause et du contenu des courriers dont il est question, l’appréciation du premier juge peut être confirmée. Compte tenu de ce qui précède, il convient d’évaluer le temps nécessaire à l’accomplissement des opérations effectuées par le recourant à dix-huit heures et trente-sept minutes. Au tarif horaire de 180 fr., les honoraires du recourant doivent être arrêtés à 3'604 fr. 20, TVA de 8% incluse, montant auquel s’ajoute les débours et la vacation alloués par le premier juge et non contestés, soit les montants de 42 fr. 40, et de 129 fr. 60, ce qui porte le montant total de l’indemnité d’office à 3'776 fr. 20 pour la période du 21 juillet au 6 octobre 2015, au lieu des 3'484 fr. 60 fixés par le premier juge.</w:t>
      </w:r>
    </w:p>
    <w:p>
      <w:r>
        <w:rPr>
          <w:b/>
        </w:rPr>
        <w:t>E. 5</w:t>
      </w:r>
    </w:p>
    <w:p>
      <w:r>
        <w:t>février 2016 Le dispositif de l'arrêt qui précède est communiqué par écrit aux intéressés. La greffière : Du L'arrêt qui précède, dont la rédaction a été approuvée à huis clos, est notifié en expédition complète, par l'envoi de photocopies, à : ‑ Me Z.________, ‑ Mme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