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197 vom 9. Februar 2016</w:t>
      </w:r>
    </w:p>
    <w:p>
      <w:r>
        <w:t>VD Tribunal cantonal, 2016-02-09, FR</w:t>
      </w:r>
    </w:p>
    <w:p>
      <w:r>
        <w:rPr>
          <w:b/>
        </w:rPr>
        <w:t xml:space="preserve">Quelle: </w:t>
      </w:r>
      <w:r>
        <w:t>https://mcp.opencaselaw.ch/entscheid/vd_findinfo_HC___2016___197</w:t>
      </w:r>
    </w:p>
    <w:p>
      <w:r>
        <w:t>FR: VD_FINDINFO HC / 2016 / 197 du 9 février 2016</w:t>
      </w:r>
    </w:p>
    <w:p>
      <w:r>
        <w:t>IT: VD_FINDINFO HC / 2016 / 197 del 9 febbraio 2016</w:t>
      </w:r>
    </w:p>
    <w:p>
      <w:pPr>
        <w:pStyle w:val="Heading2"/>
      </w:pPr>
      <w:r>
        <w:t>Regeste</w:t>
      </w:r>
    </w:p>
    <w:p>
      <w:r>
        <w:t>OBLIGATION D'ENTRETIEN, DÉBUT, RÉTROACTIVITÉ, FEUILLE OFFICIELLE | 276 al. 1 CC, 276 al. 2 CC, 285 al. 1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L’appelante conteste uniquement le moment à compter duquel l’intimé s’est vu astreint à contribuer à l’entretien de son enfant mineur, à savoir le 1 er octobre 2015.</w:t>
      </w:r>
    </w:p>
    <w:p>
      <w:r>
        <w:rPr>
          <w:b/>
        </w:rPr>
        <w:t>E. 3.1</w:t>
      </w:r>
    </w:p>
    <w:p>
      <w:r>
        <w:t>Aux termes de l’art. 276 CC (Code civil suisse du 10 décembre 1907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soit une contribution d'entretien (al. 2).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5A_372/2015 du 29 septembre 2015 consid. 3.1 ; TF 5A_591/2011 du</w:t>
      </w:r>
    </w:p>
    <w:p>
      <w:r>
        <w:rPr>
          <w:b/>
        </w:rPr>
        <w:t>E. 3.2</w:t>
      </w:r>
    </w:p>
    <w:p>
      <w:r>
        <w:t>En l’espèce, les parties sont séparées depuis le mois de juin 2015. L’appelante a déposé sa requête de mesures provisionnelles le 6 octobre 2015. Elle a toutefois requis que l’intimé soit astreint à contribuer à l’entretien et aux frais d’écolage de son fils mineur dès le 1 er août 2015. À l’audience d’appel, elle a expliqué de manière convaincante que depuis sa séparation d’avec l’intimé en juin 2015, celui-ci continuait à voir régulièrement son fils [...]. Elle a en outre indiqué que durant les mois de juin, juillet et août 2015, les parties avaient tenté de trouver un accord s’agissant du montant de la contribution d’entretien mis à la charge de l’intimé en faveur de son fils. C’est ainsi que ce dernier avait accepté de verser un montant de 1'100 francs en août 2015. L’appelante n’a toutefois pas obtenu d’autre versement de la part de l’intimé, ce nonobstant ses tentatives de pourparlers. Ce n’est finalement qu’au mois d’octobre 2015, qu’elle s’est résignée à déposer sa requête afin de contraindre l’intimé à assumer ses responsabilités vis-à-vis de son enfant. Au vu de ce qui précède, il convient de retenir qu’en versant à l’appelante un montant de 1'100 fr. en août 2015, l’intimé a laissé croire à celle-ci qu’il accepterait de contribuer à l’entretien de son enfant indépendamment de toute décision judiciaire. Il n’a toutefois plus rien payé depuis lors, nonobstant les différentes tentatives de pourparlers de l’appelante. Dans ces circonstances particulières, et conformément à la jurisprudence rappelée ci-dessus, il est justifié de fixer le dies a quo de la contribution d’entretien et de la participation aux frais d’écolage de l’enfant mineur [...], né le [...] 2006, mises à la charge de l’intimé au 1 er août 2015, comme requis par l’appelante. 4. En définitive, l’appel doit être admis et l’ordonnance entreprise réformée dans le sens des considérants qui précèdent. Vu le sort de la cause, les frais judiciaires de deuxième instance, arrêtés à 600 fr. (art. 65 al. 2 TFJC [tarif des frais judiciaires civils du 28 septembre 201 ;, RSV 270.11.5]), sont mis à la charge de l’intimé, Z.________, qui succombe (art. 106 al. 1 CPC). En sa qualité de conseil d’office de l'appelante, Me Debora Centioni a droit à une rémunération équitable pour ses opérations et débours dans la procédure d’appel (art. 122 al. 1 let. a CPC). Dans la liste des opérations qu’elle a produite le</w:t>
      </w:r>
    </w:p>
    <w:p>
      <w:r>
        <w:rPr>
          <w:b/>
        </w:rPr>
        <w:t>E. 7</w:t>
      </w:r>
    </w:p>
    <w:p>
      <w:r>
        <w:t>décembre 2011 consid. 5.2 ; TF 5A_909/2010 du 4 avril 2011 consid. 6.2). Le fait que l'épouse ait laissé s'écouler plusieurs mois avant de réclamer à son mari une poursuite de son aide ne démontre pas que l'épouse n'éprouvait aucun besoin d'aide financière, ce d'autant moins que les parties étaient en pourparlers transactionnels (Juge délégué CACI 6 février 2012/63 consid. 4).</w:t>
      </w:r>
    </w:p>
    <w:p>
      <w:r>
        <w:rPr>
          <w:b/>
        </w:rPr>
        <w:t>E. 8</w:t>
      </w:r>
    </w:p>
    <w:p>
      <w:r>
        <w:t>février 2016, l’avocate a annoncé avoir consacré quatre heures à l’exercice de son mandat. Compte tenu de la nature du litige et de la difficulté de la cause, ce décompte peut être admis. Au tarif horaire de 180 fr. (art. 2 al. 1 let. a RAJ [règlement du 7 décembre 2010 sur l'assistance judiciaire en matière civile ; RSV 211.02.3]), l'indemnité d’office due à Me Debora Centioni doit être arrêtée à 907 fr. 20, soit 720 fr. d’honoraires, plus 120 fr. de vacation, ainsi que la TVA au taux de 8% sur le tout par 66 francs. Dans la mesure de l’art. 123 CPC, la bénéficiaire de l’assistance judiciaire est tenue au remboursement de l’indemnité à son conseil d’office mis à la charge de l’Etat. L’appelante, qui obtient gain de cause, a droit à des dépens d'appel, qui sont fixés d'office selon le tarif des dépens en matière civile (art. 105 CPC). En l'espèce, l’intimé versera à l’appelante le montant de 1'500 fr. à titre de dépens de deuxième instance (art. 7 TDC ; RSV 270.11.6). Par ces motifs, le juge délégué de la Cour d’appel civile du Tribunal cantonal prononce : I. L’appel est admis. II. L’ordonnance est réformée aux chiffres II et III de son dispositif comme il suit : II. astreint l’intimé Z.________ à contribuer à l’entretien de son fils [...], né le [...] 2006, par le versement d’une pension alimentaire de 850 fr. (huit cent cinquante francs), payable d’avance le premier de chaque mois, en mains de U.________, dès le 1 er août 2015 ; III. astreint l’intimé Z.________ à s’acquitter, d’avance le premier de chaque mois, en mains de U.________ dès le 1 er août 2015, de la moitié des frais d’écolage de l’enfant [...], à hauteur de 680 fr. (six cent huitante francs) par mois actuellement. L’ordonnance est confirmée pour le surplus. III. Les frais judiciaires de deuxième instance, arrêtés à 600 fr. (six cents francs), sont mis à la charge de l’intimé, Z.________. IV. L’indemnité d’office de Me Debora Centioni, conseil de l’appelante, est arrêtée à 907 fr. 20 (neuf cent sept francs et vingt centimes), TVA et débours inclus. V. La bénéficiaire de l’assistance judiciaire est, dans la mesure de l’art. 123 CPC, tenue au remboursement de l’indemnité du conseil d’office mise à la charge de l’Etat. VI. L’intimé Z.________ doit verser à l’appelante U.________ la somme de 1'500 fr. (mille cinq cents francs) à titre de dépens de deuxième instance. VII. L’arrêt motivé est exécutoire. Le juge délégué : La greffière : Du Le présent arrêt, dont la rédaction a été approuvée à huis clos, est notifié à : ‑ Me Debora Centioni, avocate (pour U.________), par voie de publication officielle à : ‑ M. Z.________, et communiqué, par l'envoi de photocopies, à : ‑ M. le Président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