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194 vom 16. Februar 2016</w:t>
      </w:r>
    </w:p>
    <w:p>
      <w:r>
        <w:t>VD Tribunal cantonal, 2016-02-16, FR</w:t>
      </w:r>
    </w:p>
    <w:p>
      <w:r>
        <w:rPr>
          <w:b/>
        </w:rPr>
        <w:t xml:space="preserve">Quelle: </w:t>
      </w:r>
      <w:r>
        <w:t>https://mcp.opencaselaw.ch/entscheid/vd_findinfo_HC___2016___194</w:t>
      </w:r>
    </w:p>
    <w:p>
      <w:r>
        <w:t>FR: VD_FINDINFO HC / 2016 / 194 du 16 février 2016</w:t>
      </w:r>
    </w:p>
    <w:p>
      <w:r>
        <w:t>IT: VD_FINDINFO HC / 2016 / 194 del 16 febbraio 2016</w:t>
      </w:r>
    </w:p>
    <w:p>
      <w:pPr>
        <w:pStyle w:val="Heading2"/>
      </w:pPr>
      <w:r>
        <w:t>Regeste</w:t>
      </w:r>
    </w:p>
    <w:p>
      <w:r>
        <w:t>CERTIFICAT D'HÉRITIER | 559 al. 1 CC, 109 al. 3 CDPJ, 133 CDPJ</w:t>
      </w:r>
    </w:p>
    <w:p>
      <w:pPr>
        <w:pStyle w:val="Heading2"/>
      </w:pPr>
      <w:r>
        <w:t>Erwägungen</w:t>
      </w:r>
    </w:p>
    <w:p>
      <w:r>
        <w:rPr>
          <w:b/>
        </w:rPr>
        <w:t>E. 1</w:t>
      </w:r>
    </w:p>
    <w:p>
      <w:r>
        <w:t>er septembre 2014/302 ; CREC 9 mai 2014/203 ; CREC 17 avril 2014/143).</w:t>
      </w:r>
    </w:p>
    <w:p>
      <w:r>
        <w:rPr>
          <w:b/>
        </w:rPr>
        <w:t>E. 1.2</w:t>
      </w:r>
    </w:p>
    <w:p>
      <w:r>
        <w:t>et 2.3.2).</w:t>
      </w:r>
    </w:p>
    <w:p>
      <w:r>
        <w:rPr>
          <w:b/>
        </w:rPr>
        <w:t>E. 2.1</w:t>
      </w:r>
    </w:p>
    <w:p>
      <w:r>
        <w:t>Le recours, écrit et motivé, doit s'exercer dans les dix jours à compter de la notification de la décision motivée (art. 321 al. 1 et 2 CPC), auprès de la Chambre des recours civile (art. 73 al. 1 LOJV [loi vaudoise du 12 septembre 1979 d'organisation judiciaire ; RSV 173.01]). L'existence d'un intérêt du recourant (art. 59 al. 2 let. a CPC) est une condition de recevabilité de tout recours, cet intérêt devant être juridique et non uniquement de fait (ATF 127 III 429 consid. 1b ; ATF 120 II 5 consid. 2a ; ATF 118 II 108 consid. 2c ; JdT 2001 III 13 consid. 1d).</w:t>
      </w:r>
    </w:p>
    <w:p>
      <w:r>
        <w:rPr>
          <w:b/>
        </w:rPr>
        <w:t>E. 2.2</w:t>
      </w:r>
    </w:p>
    <w:p>
      <w:r>
        <w:t>En l'espèce, le recours a été déposé en temps utile. En sa qualité d'épouse du défunt, la recourante a un intérêt juridique à recourir pour faire reconnaître sa qualité d'unique héritière. Le recours est ainsi formellement recevable.</w:t>
      </w:r>
    </w:p>
    <w:p>
      <w:r>
        <w:rPr>
          <w:b/>
        </w:rPr>
        <w:t>E. 2.3</w:t>
      </w:r>
    </w:p>
    <w:p>
      <w:r>
        <w:t>Le bordereau de pièces produit par la recourante comporte des pièces qui ne figurent pas déjà au dossier et qui sont en conséquence irrecevables (art. 326 al. 1 CPC).</w:t>
      </w:r>
    </w:p>
    <w:p>
      <w:r>
        <w:rPr>
          <w:b/>
        </w:rPr>
        <w:t>E. 3.1</w:t>
      </w:r>
    </w:p>
    <w:p>
      <w:r>
        <w:t>La recourante soutient qu'elle aurait dû être la seule héritière mentionnée sur le certificat d'héritiers, dès lors que tant le testament olographe du 10 septembre 2013 que le pacte successoral du 17 septembre suivant démontrent la volonté du défunt d'instaurer son épouse comme unique héritière de l'entier de sa succession.</w:t>
      </w:r>
    </w:p>
    <w:p>
      <w:r>
        <w:rPr>
          <w:b/>
        </w:rPr>
        <w:t>E. 3.2</w:t>
      </w:r>
    </w:p>
    <w:p>
      <w:r>
        <w:t>Aux termes de l'art. 559 al. 1 CC (Code civil suisse du 10 décembre 1907 ; RS 210), après l'expiration du mois qui suit la communication des dispositions pour cause de mort aux intéressés, les héritiers institués dont les droits n'ont pas été expressément contestés par les héritiers légaux ou par les personnes gratifiées dans une disposition plus ancienne peuvent réclamer de l'autorité une attestation de leur qualité d'héritiers ; toutes actions en nullité et en pétition d'hérédité demeurent réservées. Le certificat d'héritiers constitue une attestation de l'autorité constatant que les personnes mentionnées sur le document sont les seuls héritiers du de cujus et peuvent disposer de ses biens (Steinauer, Le droit des successions, 2 e éd., 2015, n. 901, p. 482 et les réf. citées en note 90). Il indique les héritiers institués et, s'il y en a, les héritiers légaux qui sont en concours avec eux. Il s'agit d'un document indispensable aux héritiers pour se légitimer auprès des autorités (registre foncier, administration fiscale) ou auprès des tiers (banques, créanciers ou débiteurs, etc.), qui déploie des effets sur le plan intercantonal (Huber-Froidevaux, Commentaire du droit des successions, 2012, n. 1 ad art. 559 CC et les réf. citées). L'attestation revêt toutefois un caractère provisoire puisqu'elle n'est délivrée que sous réserve de toutes actions, non seulement en nullité et en pétition d'hérédité comme le précise l'art. 559 al. 1 in fine CC, mais aussi en réduction ou en constatation d'inexistence ou de nullité du testament. Par conséquent, le certificat d'héritiers n’est pas une preuve absolue de la qualité d'héritier. Il ne supprime pas les droits que pourraient avoir les héritiers légaux exclus ou les personnes gratifiées par des dispositions antérieures et n'opère pas de transfert de droits. Sa délivrance n'est d'ailleurs précédée d'aucune analyse de la situation de droit matériel et il peut au besoin être corrigé en tout temps (Steinauer, op. cit., n. 902, pp. 482-483 et les réf. citées). La jurisprudence considère, à l'instar de la doctrine, que la procédure d'établissement du certificat d'héritiers n'a pas pour objet de statuer matériellement sur la qualité d'héritier (ATF 128 III 318 consid. 2.2.2, JdT 2002 I 479 ; TF 5A_255/2010 du 13 septembre 2011 consid. 5). L'interprétation définitive des dispositions pour cause de mort – de même que la question qui y est liée de savoir si une personne possède ou non la qualité d'héritier – relève de la compétence du juge ordinaire et non de l'autorité chargée de délivrer le certificat d'héritiers (TF 5A_495/2010 du 10 janvier 2011 consid. 2.3.2). Celle-ci peut cependant corriger ou révoquer d'office un certificat d'héritiers s'il se révèle par la suite matériellement erroné (TF 5A_800/2013 du 18 février 2014 consid. 4.2.3 ; TF 5P.17/2005 du 7 mars 2005 consid. 3). Le certificat d'héritiers ne jouit ainsi d'aucune autorité de chose jugée quant à la qualité d'héritiers des personnes qui y sont mentionnées (ATF 128 III 318 consid. 2 ; TF 5A_800/2013 du 18 février 2014 consid. 4.2.2 ; TF 5A__495/2010 du 10 janvier 2011 consid.</w:t>
      </w:r>
    </w:p>
    <w:p>
      <w:r>
        <w:rPr>
          <w:b/>
        </w:rPr>
        <w:t>E. 3.3</w:t>
      </w:r>
    </w:p>
    <w:p>
      <w:r>
        <w:t>En l'espèce, le premier juge a délivré un certificat d'héritiers sur la base du contenu même des dispositions pour cause de mort indiquant que la mère du défunt est héritière réservataire et lui demandant de bien vouloir « renoncer à sa part réservataire ». A défaut, le défunt avait précisé « renvoyer sa mère à sa réserve ». Que l'on considère l'intimée comme héritière instituée à défaut de renonciation ou comme héritière légale en vertu de l'art. 471 ch. 2 CC, le premier juge a établi le certificat d'héritiers conformément à l'art. 559 CC. Il n'avait pas à analyser la situation de droit matériel puisque le certificat d'héritiers ne constitue pas une preuve absolue de la qualité d'héritier et n'a pas pour vocation de supprimer ou de transférer des droits que pourraient avoir les héritiers légaux exclus ou les personnes gratifiées par des dispositions antérieures. En tant que la recourante conteste la vocation des autres héritiers mentionnés sur le certificat d'héritiers, il lui appartient d'agir devant le juge ordinaire par une action au fond en nullité et/ou en réduction.</w:t>
      </w:r>
    </w:p>
    <w:p>
      <w:r>
        <w:rPr>
          <w:b/>
        </w:rPr>
        <w:t>E. 4</w:t>
      </w:r>
    </w:p>
    <w:p>
      <w:r>
        <w:t>Il s'ensuit que le recours doit être rejeté selon le mode procédural de l'art. 322 al. 1 CPC et la décision entreprise confirmée. Les frais judiciaires de deuxième instance sont arrêtés à 800 fr. (art. 74 al. 1 TFJC) et mis à la charge de la recourante qui succombe (art. 106 al. 1 CPC). Il n'y a pas matière à l'allocation de dépens, l'intimée n'ayant pas été invitée à se déterminer. Par ces motifs, la Chambre des recours civile du Tribunal cantonal, en application de l'art. 322 al. 1 CPC, prononce : I. Le recours est rejeté. II. La décision est confirmée. III. Les frais judiciaires de deuxième instance, arrêtés à 800 fr. (huit cents francs), sont mis à la charge de la recourante S.________. IV. L’arrêt motivé est exécutoire. Le président :               Le greffier : Du 17 février 2016 Le dispositif de l'arrêt qui précède est communiqué par écrit aux intéressés. Le greffier : Du L'arrêt qui précède, dont la rédaction a été approuvée à huis clos, est notifié en expédition complète, par l'envoi de photocopies, à : ‑ Me Elie Elkaim (pour S.________), ‑ Me Cyrille Piguet (pour A.C.________).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