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189 vom 28. Januar 2016</w:t>
      </w:r>
    </w:p>
    <w:p>
      <w:r>
        <w:t>VD Tribunal cantonal, 2016-01-28, FR</w:t>
      </w:r>
    </w:p>
    <w:p>
      <w:r>
        <w:rPr>
          <w:b/>
        </w:rPr>
        <w:t xml:space="preserve">Quelle: </w:t>
      </w:r>
      <w:r>
        <w:t>https://mcp.opencaselaw.ch/entscheid/vd_findinfo_HC___2016___189</w:t>
      </w:r>
    </w:p>
    <w:p>
      <w:r>
        <w:t>FR: VD_FINDINFO HC / 2016 / 189 du 28 janvier 2016</w:t>
      </w:r>
    </w:p>
    <w:p>
      <w:r>
        <w:t>IT: VD_FINDINFO HC / 2016 / 189 del 28 gennaio 2016</w:t>
      </w:r>
    </w:p>
    <w:p>
      <w:pPr>
        <w:pStyle w:val="Heading2"/>
      </w:pPr>
      <w:r>
        <w:t>Regeste</w:t>
      </w:r>
    </w:p>
    <w:p>
      <w:r>
        <w:t>AVOCAT, HONORAIRES, INDEMNITÉ ÉQUITABLE | 122 al. 1 let. a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w:t>
      </w:r>
    </w:p>
    <w:p>
      <w:r>
        <w:t>La recourante se prévaut d’une constatation manifestement inexacte des faits. Elle n’aurait presque jamais eu affaire à l’avocat qui lui avait été désigné d’office, sous réserve d’un bref entretien de quinze minutes au début du mandat, et par la suite toujours à son stagiaire. Elle en veut pour preuve le fait que c’est le stagiaire qui a assisté à l’unique audience durant la période couverte par la désignation de cet avocat. Dès lors, la rémunération des opérations devrait être calculée au tarif horaire de 110 fr. et non de 180 francs.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Pour fixer la quotité de l’indemnité du conseil d’office, l’autorité cantonale doit s’inspirer des critères applicables à la modération des honoraires d’avocat (Donzallaz, Loi sur le Tribunal fédéral, Commentaire, 2008, n. 1775 ad art. 64 LTF; ATF 122 l 1 consid.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la 22 précité consid.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l’avocat J.________ a transmis sa liste des opérations pour la période s’écoulant entre le 19 mai 2014 et le 11 novembre 2015. Fondé sur les indications figurant sur cette liste, le premier juge a admis une durée de seize heures et vingt minutes – dont une heure assumée par l’avocat-stagiaire, Me [...]. Le magistrat a soustrait les opérations liées à la procédure de recours au Tribunal cantonal et a pris en considération une durée de cinq minutes par plis s’agissant de la prise de connaissance de courriers. Il a en outre appliqué le tarif horaire de 110 fr. et a alloué une vacation forfaitaire de 80 fr. pour rémunérer le travail de l’avocat-stagiaire ainsi que sa présence à l’audience du 21 mai 2015. Il a enfin appliqué le tarif horaire de 180 fr. pour les quinze heures et vingt minutes assumées par l’avocat breveté et a accordé un montant forfaitaire de 100 fr. à titre de débours. Cette appréciation ne prête pas le flanc à la critique et doit être confirmée. En effet, le conseil d’office a fourni sa liste d’opérations le 11 novembre 2015, qui a été examinée par le premier juge, et qui contenait des explications détaillées. Dans ses déterminations du 21 janvier 2016, l’avocat a affirmé qu’il s’était toujours entretenu au téléphone avec la recourante, qu’il s’était entretenu à de nombreuses reprises avec elle à son étude et qu’il était indisponible le jour de l’audience du 21 mai 2015, raison pour laquelle il avait demandé à son avocat-stagiaire de l’y remplacer. Il a enfin ajouté que ce dernier s’était en outre entretenu à trois reprises avec la recourante au téléphone et l’avait reçue à deux reprises à l’étude, ajoutant toutefois que ces opérations n’avaient pas été comptabilisées dans le relevé des opérations, car l’avocat désigné se chargeait personnellement du suivi de ce dossier. La recourante ne peut dès lors rien déduire de probant de la participation de l’avocat-stagiaire à l’audience du 21 mai 2015, cette assistance ayant été annoncée comme telle dans le relevé des opérations produit pour la fixation de l’indemnité d’office. Les explications de l’avocat sont d’autant plus crédibles que la recourante n’a pas contesté la liste des opérations intermédiaire – couvrant la période du 14 mars au 19 mai 2013 – produite le 3 juin 2014 et qui faisait déjà état de trois entrevues (120 minutes) avec la recourante ainsi que de cinq entretiens téléphoniques (40 minutes). Par conséquent, il n’y a pas lieu de s’écarter des opérations figurant sur la liste des opérations litigieuse, telle qu’admise par le premier juge. Le montant de l’indemnité d’office alloué à Me J.________ doit dès lors être confirmé, dès lors qu’il n’existe aucune raison de modifier le tarif horaire retenu par le premier juge.</w:t>
      </w:r>
    </w:p>
    <w:p>
      <w:r>
        <w:rPr>
          <w:b/>
        </w:rPr>
        <w:t>E. 4</w:t>
      </w:r>
    </w:p>
    <w:p>
      <w:r>
        <w:t>Compte tenu de ce qui précède, le recours doit être rejeté. La recourante ayant expressément renoncé à l’assistance judiciaire et constitué Me Filippo Ryter comme avocat de choix pour la procédure de recours, il convient d’en prendre acte. Le prononcé est dès lors réformé en ce sens que les chiffres IV et V de son dispositif sont supprimés, le prononcé étant confirmé pour le surplus. Les frais judiciaires de deuxième instance, arrêtés à 100 fr. (art. 69 al. 1 et 3 TFJC [Tarif du 28 septembre 2010 des frais judiciaires civils, RSV 270.11.5]), sont mis à la charge de la recourante, qui succombe (art. 106 al. 1 CPC). Il n'y a pas matière à l'allocation de dépens de deuxième instance, l’avocat intimé ayant agi dans sa propre cause. Par ces motifs, la Chambre des recours civile du Tribunal cantonal, prononce : I. Le recours est rejeté. II. Les chiffres I à III et VI du dispositif du prononcé sont confirmés et les chiffres IV et V sont supprimés. III. Les frais judiciaires de deuxième instance, arrêtés à 100 fr. (cent francs), sont mis à la charge de la recourante H.________. IV. L’arrêt motivé est exécutoire. Le président :               La greffière : Du 29 janvier 2016 Le dispositif de l'arrêt qui précède est communiqué par écrit aux intéressés. La greffière : Du L'arrêt qui précède, dont la rédaction a été approuvée à huis clos, est notifié en expédition complète, par l'envoi de photocopies, à : ‑ Me Filippo Ryter, avocat (pour H.________), ‑ Me J.________. La Chambre des recours civile considère que la valeur litigieuse est de 3’294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