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184 vom 15. Februar 2016</w:t>
      </w:r>
    </w:p>
    <w:p>
      <w:r>
        <w:t>VD Tribunal cantonal, 2016-02-15, FR</w:t>
      </w:r>
    </w:p>
    <w:p>
      <w:r>
        <w:rPr>
          <w:b/>
        </w:rPr>
        <w:t xml:space="preserve">Quelle: </w:t>
      </w:r>
      <w:r>
        <w:t>https://mcp.opencaselaw.ch/entscheid/vd_findinfo_HC___2016___184</w:t>
      </w:r>
    </w:p>
    <w:p>
      <w:r>
        <w:t>FR: VD_FINDINFO HC / 2016 / 184 du 15 février 2016</w:t>
      </w:r>
    </w:p>
    <w:p>
      <w:r>
        <w:t>IT: VD_FINDINFO HC / 2016 / 184 del 15 febbraio 2016</w:t>
      </w:r>
    </w:p>
    <w:p>
      <w:pPr>
        <w:pStyle w:val="Heading2"/>
      </w:pPr>
      <w:r>
        <w:t>Regeste</w:t>
      </w:r>
    </w:p>
    <w:p>
      <w:r>
        <w:t>AVANCE DE FRAIS, SUSPENSION DE LA PROCÉDURE | 98 CPC (CH), 18 al. 1 TFJC (2010), 19 al. 1 TFJC (2010)</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avances de frais. Ces décisions comptant parmi les ordonnances d’instruction (Jeandin, in CPC commenté, Bâle 2011, n. 14 ad art. 319 CPC), le délai de recours est de dix jours (art. 321 al. 2 CPC). Le recours, écrit et motivé, doit être introduit auprès de l’instance de recours (art. 321 al. 1 CPC), soit la Chambre de céans (art. 73 al. 1 LOJV [loi vaudoise d’organisation judiciaire du 12 décembre 1979, RSV 173.01]). Formé en temps utile par une partie qui y a 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Bâle 2013, n. 1 ad art. 320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(Jeandin,  op. cit., n. 5 et 6 ad art. 320 CPC, p. 1276 ; Corboz, Commentaire de la LTF, 2 e éd., Berne 2014, n. 27 ad art. 97 LTF, p. 1117).</w:t>
      </w:r>
    </w:p>
    <w:p>
      <w:r>
        <w:rPr>
          <w:b/>
        </w:rPr>
        <w:t>E. 3</w:t>
      </w:r>
    </w:p>
    <w:p>
      <w:r>
        <w:t>La recourante fait valoir que la demande d’avance de frais serait prématurée dans la mesure où elle a d’emblée requis la suspension de la procédure, incident que la Chambre patrimoniale cantonale va trancher en priorité, si bien qu’aucune opération dans le procès au fond n’aura lieu d’ici là.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Bâle 2011, n. 3 ad art. 98 CPC, p. 361).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in Kommentar zur Schweizerischen Zivilprozessordnung [ZPO], 2 e éd., 2013, n. 10 ad art. 98 CPC). Le tribunal peut notamment s'écarter du principe pour des raisons d’équité. Par exemple lorsque la partie demanderesse dispose d’un revenu à peine supérieur au minimum vital mais ne remplit pas les conditions d’octroi de l’assistance judiciaire, le montant de l’avance devrait être réduit (Message du Conseil fédéral du 28 juin 2006 relatif au code de procédure civile suisse, FF 2006, pp. 6905-6906; Tappy, op. cit., n. 8 ad art. 98 CPC, p. 362). Pour déterminer le montant des frais judiciaires présumés, il y a lieu de se référer au tarif des frais prévu par le droit cantonal (art. 96 CPC). En droit vaudois, l'art. 9 al. 1 TFJC (tarif des frais judiciaires civils du 28 septembre 2010; RSV 270.11.5) prévoit que la partie qui saisit l’autorité judiciaire par une demande doit fournir une avance d’un montant correspondant à la totalité de l’émolument de décision prévu pour ses conclusions. Selon l'art. 10 TFJC, seuls des motifs d'équité justifient la renonciation à exiger tout ou partie de l'avance de frais. Dans les litiges patrimoniaux soumis à la procédure ordinaire, lorsque la valeur du litige est supérieure à 500'001 fr., l'émolument forfaitaire de décision est fixé à 15'500 fr., plus 1,5 % de la valeur litigieuse dépassant 500'000 fr., mais au maximum 300'000 fr. (art. 18 al. 1 TFJC). Lorsque le procès met en cause plus de deux parties, l’émolument forfaitaire de décision est majoré, par partie supplémentaire, d’un montant de 7'750 fr. plus 0,75% de la valeur litigieuse dépassant 500'000 fr., mais au maximum de 150'000 fr. (art. 19 al. 1 TFJC). La valeur du litige se calcule selon le droit fédéral; elle est en principe déterminée par la valeur des conclusions (art. 91 al. 1 CPC). En l’espèce, dans sa demande du 22 octobre 2015, la recourante a évalué la valeur litigieuse à 8'500'000 francs. Le litige comptant plus de deux parties, le montant de l’avance de frais exigée par le premier juge (soit 203'250 fr.) a par conséquent été fixé correctement, ce qui, au demeurant, n’est pas contesté. La recourante ne prétend pas réaliser l’une des exceptions fondées sur l’équité dont il a été fait état ci-dessus, mais invoque uniquement sa requête de suspension à l’appui de son recours. Or, il ne suffit pas de demander la suspension de la cause pour différer le versement de l’avance de frais, qui est une condition de recevabilité de la demande (art. 59 al. 2 let. f et 101 CPC) examinée d’office par le juge, l’avance étant fixée et exigée au début de la procédure, en général immédiatement à réception de la demande ou dans les jours suivants (Tappy, op. cit., nn. 5 et 7 ad art. 101 CPC). Le moyen est donc infondé. Au demeurant, à supposer que la suspension soit prononcée, cela n’aurait pas pour effet de reporter le versement de l’avance de frais à la notification plus tardive de la demande aux défenderesses, l’avance de frais n’étant pas légalement subordonnée à la notification d’un acte de procédure à une ou plusieurs parties adverse, mais bien au dépôt d’une requête ou d’une demande.</w:t>
      </w:r>
    </w:p>
    <w:p>
      <w:r>
        <w:rPr>
          <w:b/>
        </w:rPr>
        <w:t>E. 4</w:t>
      </w:r>
    </w:p>
    <w:p>
      <w:r>
        <w:t>La recourante invoque dans sa dernière conclusion une disproportion entre le montant de l’avance et le coût des premières opérations judiciaires. Elle se prévaut ainsi implicitement d’une violation du principe d’équivalence. L’art. 22 al. 8 TFJC, qui permet de réduire les émoluments en tenant compte de la complexité de l’affaire et des travaux accomplis par le tribunal ne s’applique qu’aux causes dont la valeur litigieuse est supérieure à 500'000 fr., ce qui est le cas en l’espèce. Toutefois, le juge ne peut pas déjà tenir compte au stade de l’avance de frais du motif de réduction de l’émolument – et non de l’avance –  prévu pour la procédure ordinaire à l’art. 22 al. 8 TFJC. En effet, cette argumentation ne peut être suivie, dès lors qu’il n’est pas possible pour le magistrat d’estimer avant la fin du procès, sur la base de la seule demande, si l’émolument qui sera facturé au final respectera le principe d’équivalence. Par ces motifs, la Chambre des recours civile du Tribunal cantonal, prononce : I. Le recours est rejeté. II. La décision est confirmée. III. Les frais judiciaires de deuxième instance, arrêtés à 2'300 fr. (deux mille trois cents francs) sont mis à la charge de la recourante M.________. IV. L’arrêt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Me Philippe Nordmann (pour M.________), ‑ [...], ‑ Me Daniel Tunik (pour [...]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