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181 vom 5. Februar 2016</w:t>
      </w:r>
    </w:p>
    <w:p>
      <w:r>
        <w:t>VD Tribunal cantonal, 2016-02-05, FR</w:t>
      </w:r>
    </w:p>
    <w:p>
      <w:r>
        <w:rPr>
          <w:b/>
        </w:rPr>
        <w:t xml:space="preserve">Quelle: </w:t>
      </w:r>
      <w:r>
        <w:t>https://mcp.opencaselaw.ch/entscheid/vd_findinfo_HC___2016___181</w:t>
      </w:r>
    </w:p>
    <w:p>
      <w:r>
        <w:t>FR: VD_FINDINFO HC / 2016 / 181 du 5 février 2016</w:t>
      </w:r>
    </w:p>
    <w:p>
      <w:r>
        <w:t>IT: VD_FINDINFO HC / 2016 / 181 del 5 febbraio 2016</w:t>
      </w:r>
    </w:p>
    <w:p>
      <w:pPr>
        <w:pStyle w:val="Heading2"/>
      </w:pPr>
      <w:r>
        <w:t>Regeste</w:t>
      </w:r>
    </w:p>
    <w:p>
      <w:r>
        <w:t>ASSISTANCE JUDICIAIRE, DÉNUEMENT, CURATEUR, INDEMNITÉ{EN GÉNÉRAL} | 117 CPC (CH), 117 let. a CPC (CH), 3 RCur</w:t>
      </w:r>
    </w:p>
    <w:p>
      <w:pPr>
        <w:pStyle w:val="Heading2"/>
      </w:pPr>
      <w:r>
        <w:t>Erwägungen</w:t>
      </w:r>
    </w:p>
    <w:p>
      <w:r>
        <w:rPr>
          <w:b/>
        </w:rPr>
        <w:t>E. 1</w:t>
      </w:r>
    </w:p>
    <w:p>
      <w:r>
        <w:t>Selon l'art. 121 CPC (Code de procédure civile du 19 décembre 2010 ; RS 272), les décisions refusant ou retirant totalement ou partiellement l'assistance judiciaire peuvent faire l'objet d'un recours. Le recours de l'art. 319 let. b ch. 1 CPC est ainsi ouvert par renvoi de l'art. 121 CPC. Dès lors que le tribunal statue en procédure sommaire sur les requêtes d’assistance judiciaire (art. 119 al. 3 CPC), le délai pour l’introduction du recours est de dix jours (art. 321 al. 2 CPC). En l'espèce, déposé en temps utile, par une partie qui a un intérêt digne de protection (art. 59 al. 2 let. a CPC) et dûment signé et motivé,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2014, n. 27 ad art. 97 LTF, p. 1117). Le recours déploie avant tout un effet cassatoire ; toutefois, lorsque l’instance supérieure admet le recours et constate que la cause est en état d’être jugée, elle rend une nouvelle décision (art. 327 al. 3 CPC). Dans ce cas, le recours déploie un effet réformatoire (Jeandin, CPC commenté, 2011, n. 6 ad art. 327 CPC).</w:t>
      </w:r>
    </w:p>
    <w:p>
      <w:r>
        <w:rPr>
          <w:b/>
        </w:rPr>
        <w:t>E. 3.1</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[Constitution fédérale de la Confédération suisse du 18 avril 1999, RS 101] ; art. 117 à 122 CPC).</w:t>
      </w:r>
    </w:p>
    <w:p>
      <w:r>
        <w:rPr>
          <w:b/>
        </w:rPr>
        <w:t>E. 3.2</w:t>
      </w:r>
    </w:p>
    <w:p>
      <w:r>
        <w:t>L’assistance judiciaire comprend notamment l’exonération des frais judiciaires et de leur avance (art. 118 al. 1 let. a et b CPC). Elle est totale ou partielle (art. 118 al. 1 CPC) ; dans cette seconde hypothèse, le plaideur n’est exonéré que de la part des frais et avances dépassant ce que ses ressources lui permettent d’affecter au procès. Sous réserve des dispenses de frais que les cantons peuvent prévoir soit dans le cadre de leur tarif, soit sur la base de l’art. 116 al. 1 CPC, les dispositions sur l’assistance judiciaire règlent exhaustivement l’exonération totale ou partielle de l’avance des frais par suite d’une situation économique défavorable de la partie assujettie (TF 4A_186/2012 du 19 juin 2012 consid.</w:t>
      </w:r>
    </w:p>
    <w:p>
      <w:r>
        <w:rPr>
          <w:b/>
        </w:rPr>
        <w:t>E. 3.3</w:t>
      </w:r>
    </w:p>
    <w:p>
      <w:r>
        <w:t>Aux termes de l’art. 117 CPC, une personne a droit à l’assistance judiciaire si elle ne dispose pas des ressources suffisantes (let. a) et si sa cause ne paraît pas dépourvue de toute chance de succès (let. b). Ces conditions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(TF 4D_30/2009 du 1 er juillet 2009, ATF 135 I 91 consid. 2.4.3 ; ATF 128 I 225 consid. 2.5.1, JdT 2006 IV 47).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le requérant ne peut échapper. Il y a lieu de mettre en balance, d’une part, la totalité des ressources effectives du requérant et, d’autre part, l’ensemble de ses engagements financiers. Concernant ces derniers, seules les charges réellement acquittées sont susceptibles d’entrer dans le calcul du minimum vital (ATF 121 III 20 consid. 3a). En ce qui concerne la fortune, elle doit être prise en compte dans les ressources du requérant, pour autant qu’elle soit disponible (ATF 124 I 1 consid. 2a et 3b ; TF 9C_147/2011 du 20 juin 2011 et les réf. citées). Si l’Etat peut exiger du requérant qu’il utilise ses économies, il doit laisser à l’intéressé le bénéfice d’une réserve de secours, s’appréciant en fonction des besoins futurs de l’indigent et dont le montant se situe, pour une personne seule, dans une fourchette allant de 20'000 fr. à 40'000 francs (TF 9C_147/2011 précité et les réf. citées ; TF 2C_301/2013 du 2 mai 2013 consid. 3c).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 er juillet 2009, ATF 135 I 91 consid. 2.4.3 ; ATF 124 I 1, JdT 1999 I 60 consid. 2a ; ATF 106 Ia 82 consid. 3). Les charges d’entretien peuvent ainsi être appréciées selon les normes du droit des poursuite concernant le minimum vital. Toutefois, on ajoutera un pourcentage de l’ordre de 25 % au montant de base LP (loi fédérale sur la poursuite pour dettes et la faillite du</w:t>
      </w:r>
    </w:p>
    <w:p>
      <w:r>
        <w:rPr>
          <w:b/>
        </w:rPr>
        <w:t>E. 3.4</w:t>
      </w:r>
    </w:p>
    <w:p>
      <w:r>
        <w:t>En l’espèce, le recourant répond manifestement à la condition d’indigence visée à l’art. 117 let. a CPC, sa fortune immobilière étant soustraite à sa disposition et le montant de sa fortune mobilière disponible, soit réalisable à court terme, étant inférieur à la « réserve de secours » admise par la jurisprudence. La décision incriminée est donc erronée sur ce point. Pour le surplus, il n’apparaît pas que sa cause soit dépourvue de chance de succès au point de ne pas mériter d’être défendue. A tout le moins, la justice de paix en a-t-elle jugé autrement, puisqu’elle a désigné l’agent d’affaires breveté Geneviève Gehrig pour représenter le recourant dans le cadre du procès en bail à loyer introduit par A.H.________ et B.H.________. Toutefois, l’étendue de l’assistance judiciaire ne saurait comprendre la rémunération de l’agent d’affaires breveté Geneviève Gehrig, celle-ci n’agissant pas en cette qualité aux côtés du recourant, mais en sa qualité de curatrice, désignée et rémunérée par l’Autorité de protection de l’adulte, en l’occurrence la Justice de paix du district de Lausanne (art. 1 al. 1 et 3 al. 1, 2 et 4 RCur [règlement sur la rémunération des curateurs du 18 décembre 2012 ; RSV 211.255.2] ; CREC du 24 août 2014/268 consid. 3b). Ainsi, l’invitation faite à la curatrice par le Juge de paix de requérir l’assistance judiciaire tend avant tout à la dispense des frais judiciaires qui pourraient être mis à la charge du recourant, mais non à la désignation et à la rémunération d’un conseil d’office en sus de la désignation et de la rémunération de la curatrice (CREC 11 décembre 2015/428 consid. 3b). Cela étant, le litige qui divise R.________ d’avec A.H.________ et B.H.________ porte sur un bail à loyer d’habitation et la procédure devant le Tribunal des baux est gratuite (art. 12 al. 1 LJB [loi sur la juridiction en matière de bail du 9 novembre 2010 ; RSV 173.655]), de sorte qu’il n’y a lieu d’accorder ni dispense d’avances, ni dispense de frais judiciaires au recourant. 4. Il s’ensuit que le recours, bien que fondé sur le principe, ne l’est pas quant au résultat, qui peut être confirmé par substitution de motifs. 5. L’arrêt doit être rendu sans frais (art. 119 al. 6 CPC). Par ces motifs, la Chambre des recours civile du Tribunal cantonal, en application de l'art. 322 al. 1 CPC, prononce : I.              Le recours est rejeté. II.              La décision est confirmée. III.              L’arrêt motivé, rendu sans frais, est exécutoire. Le président :               La greffière : Du 9 février 2016 Le dispositif de l'arrêt qui précède est communiqué par écrit aux intéressés. La greffière : Du L'arrêt qui précède, dont la rédaction a été approuvée à huis clos, est notifié en expédition complète, par l'envoi de photocopies, à : ‑ Mme Geneviève Gehrig (pour R.________).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r>
        <w:rPr>
          <w:b/>
        </w:rPr>
        <w:t>E. 7</w:t>
      </w:r>
    </w:p>
    <w:p>
      <w:r>
        <w:t>et les réf. citées).</w:t>
      </w:r>
    </w:p>
    <w:p>
      <w:r>
        <w:rPr>
          <w:b/>
        </w:rPr>
        <w:t>E. 11</w:t>
      </w:r>
    </w:p>
    <w:p>
      <w:r>
        <w:t>avril 1889 ; RS 281.1), afin d’atténuer la rigueur de ces normes (ATF 124 I 1, JdT 1999 I 60 consid. 2a ; CREC 26 mars 2011/16 consid. 3b et les réf. citées).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(TF 5P.233/2005 du 23 novembre 2005 consid. 2.2 ; CREC 8 novembre 2013/1 consid. 3b). Cependant, il conviendra de tenir compte, le cas échéant, de la nécessité où le requérant se trouve d’agir dans un délai relativement court, qui ne lui permet pas de faire des économies en vue d’avancer les frais du procès (TF 4D_30/2009 du 1 er juillet 2009, ATF 135 I 221 consid. 5.1 ; ATF 108 Ia 108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