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173 vom 17. Februar 2016</w:t>
      </w:r>
    </w:p>
    <w:p>
      <w:r>
        <w:t>VD Tribunal cantonal, 2016-02-17, FR</w:t>
      </w:r>
    </w:p>
    <w:p>
      <w:r>
        <w:rPr>
          <w:b/>
        </w:rPr>
        <w:t xml:space="preserve">Quelle: </w:t>
      </w:r>
      <w:r>
        <w:t>https://mcp.opencaselaw.ch/entscheid/vd_findinfo_HC___2016___173</w:t>
      </w:r>
    </w:p>
    <w:p>
      <w:r>
        <w:t>FR: VD_FINDINFO HC / 2016 / 173 du 17 février 2016</w:t>
      </w:r>
    </w:p>
    <w:p>
      <w:r>
        <w:t>IT: VD_FINDINFO HC / 2016 / 173 del 17 febbraio 2016</w:t>
      </w:r>
    </w:p>
    <w:p>
      <w:pPr>
        <w:pStyle w:val="Heading2"/>
      </w:pPr>
      <w:r>
        <w:t>Regeste</w:t>
      </w:r>
    </w:p>
    <w:p>
      <w:r>
        <w:t>SOMMATION, RÉSILIATION, BAIL À LOYER, EXPULSION DE LOCATAIRE, DEMEURE, FORME ÉCRITE, VICE DE FORME | 257d al. 1 CO</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Le loyer mensuel étant de 3’900 fr., la valeur litigieuse est dès lors manifestement supérieure à 10'000 fr., de sorte que la voie de l'appel est ouverte (art. 308 al.</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1 er décembre 2015/645 consid. 2 ; CACI 25 novembre 2014/607 consid. 3a ; CACI 6 mars 2014/102 consid. 2b ; CACI 10 juin 2013/289 consid. 4a ; CACI 6 mai 2013/237 consid. 5a). Partant, les pièces produites sous bordereau du 25 janvier 2016 sont irrecevables, à l’exception de la pièce 1 (ordonnance attaquée).</w:t>
      </w:r>
    </w:p>
    <w:p>
      <w:r>
        <w:rPr>
          <w:b/>
        </w:rPr>
        <w:t>E. 3.1</w:t>
      </w:r>
    </w:p>
    <w:p>
      <w:r>
        <w:t>L’avis comminatoire de l’art. 257d al. 1 CO est subordonné à l’exigence de la forme écrite, sous peine de nullité (Wessner, Commentaire pratique, Droit du bail à loyer, 2010, n. 16 ad art. 257d CO ; Higi, ZürcherKommentar, 1994, n. 35 ad art. 257d CO). Il doit ainsi respecter le prescrit des art. 12 à 15 CO en particulier s’agissant des exigences relatives à la signature (Bisang et al., SVIT-Kommentar, 2008, n. 24 ad art. 257d CO). Le délai comminatoire et le congé doivent être signifiés par écrit. Ils doivent donc être signés de la main du bailleur ou de son représentant (art. 14 al. 1 CO). La commination et la résiliation qui ne respectent pas cette règle de forme sont nulles (art. 266o CO). Sauf abus de droit, cette nullité peut être invoquée en tout temps (CACI 23 février 2012/91; CACI 2 août 2012/347). La signature par fac-simile est insuffisante à respecter la forme écrite d’une commination (CACI 1 er décembre 2015/645). On doit admettre qu’il en est de même, en l’occurrence, s’agissant du duplicata produit pour la première fois en appel, ce d’autant que cette pièce est en principe irrecevable (consid. 2 supra ).</w:t>
      </w:r>
    </w:p>
    <w:p>
      <w:r>
        <w:rPr>
          <w:b/>
        </w:rPr>
        <w:t>E. 3.2</w:t>
      </w:r>
    </w:p>
    <w:p>
      <w:r>
        <w:t>L’appelant invoque le formalisme excessif, la violation, par le premier juge, du fardeau de l’allégation et de la preuve – incombant à l’intimé – ainsi que du devoir de collaboration des parties. Il fait valoir que l’original signé de la commination a été adressé le 19 juin 2015 à l’intimé et que la juge de paix n’a jamais interpellé l’intimé sur cette question, ce dernier n’ayant par ailleurs jamais allégué ne pas avoir reçu un avis comminatoire signé. Selon l’appelant, la jurisprudence n’impose pas de conserver une photocopie des avis comminatoires signés. Le juge ne saurait prononcer l'expulsion en procédure de cas clair si le bailleur ne produit pas la sommation permettant de vérifier que les conditions légales sont réalisées (CACI</w:t>
      </w:r>
    </w:p>
    <w:p>
      <w:r>
        <w:rPr>
          <w:b/>
        </w:rPr>
        <w:t>E. 6</w:t>
      </w:r>
    </w:p>
    <w:p>
      <w:r>
        <w:t>décembre 2013/640). A cet égard, le juge n'est pas tenu d'inviter le bailleur à produire la sommation, la maxime inquisitoire étant inapplicable à la protection en matière de cas clairs dans les litiges relevant du bail à loyer (CACI 6 décembre 2013/640). La question se pose ainsi de savoir si le juge, qui n’a pas interpellé l’intimé sur la question de la sommation, pouvait « d’office » conclure à un vice de forme en examinant les pièces produites par le requérant qui n’établit pas être en possession d’une copie signée de la commination d’origine adressée à l’intimé. Contrairement à ce qui ressort de l’arrêt de la Cour de céans du 5 juin 2014 (n° 292), où il était question des conséquences de l’omission d’informer le locataire du loyer par formule officielle et où il a été admis que le premier juge avait, à tort, retenu d’office la nullité partielle du bail quant au montant du loyer puisqu’il appartenait au locataire de prendre l’initiative de contester le loyer initial, le droit privé ne prévoyant pas un contrôle d’office par une autorité des montants convenus (consid. 3c et la référence à l’ATF 137 III 547 consid. 2.3), il apparaît que le contrôle « d’office » de la réalisation des conditions de forme de la commination par le premier juge, soit de l’examen des pièces produites par le requérant à cet égard, ne prête pas le flanc à la critique, dès lors qu’il relève aussi de l’examen des conditions de réalisation du cas clair au sens de l’art. 257 CPC, comme énoncé. Il s’ensuit que les griefs invoqués par l’appelant à cet égard (formalisme excessif et violation du fardeau de l’allégation, de la preuve ainsi que du devoir de collaboration des parties) doivent être rejetés. L’appel devant être rejeté pour ce motif déjà, il est inutile d’examiner le second motif de rejet de la requête retenu par le premier juge (ordonnance, p. 3) relatif aux conséquences de l’inexigibilité du loyer du mois de juillet 2015 au moment de la mise en demeure. 4. Lorsque l’appel du bailleur contre un rejet de requête d'expulsion en procédure de cas clair est rejeté, il y a lieu de réformer d'office la décision en ce sens que la requête est déclarée irrecevable (CACI 31 mai 2012/249). Au regard des conclusions soulevées par le requérant auprès du premier juge (et en appel), il convient de préciser qu’il n'appartient pas au juge saisi d'une requête en cas clair d'instruire et de faire un tri entre les faits allégués pour déterminer ce qui doit être admis ou rejeté, les conclusions devant en effet pouvoir être admises dans leur intégralité, sous peine d'irrecevabilité (TF 4A_343/2014 du 17 décembre 2014 consid. 3.3, destiné à la publication; TF 5A_768/2012 du 17 mai 2013 consid. 4.3, SJ 2014 I p. 27). Ainsi, lorsqu'il y a lieu de refuser d'entrer en matière sur une partie des conclusions de la requête en cas clair, celle-ci doit être déclarée irrecevable dans son entier (CACI 13 mai 2013/257). 5. Il s’ensuit que l’appel doit être rejeté selon le mode procédural de l’art. 312 al. 1 CPC et l'ordonnance attaquée réformée d'office à son chiffre I en ce sens que la requête d'expulsion est irrecevable. L'ordonnance doit être confirmée pour le surplus. Les frais judiciaires de deuxième instance seront arrêtés à 795 fr. (art. 62 al. 1 et 3 TFJC [tarif des frais judiciaires civils du 28 septembre 2010; RSV 270.11.5]) et mis à la charge de l'appelant, qui succombe (art. 106 al. 1 CPC). Il n’y a pas lieu d’allouer des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