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166 vom 28. Januar 2016</w:t>
      </w:r>
    </w:p>
    <w:p>
      <w:r>
        <w:t>VD Tribunal cantonal, 2016-01-28, FR</w:t>
      </w:r>
    </w:p>
    <w:p>
      <w:r>
        <w:rPr>
          <w:b/>
        </w:rPr>
        <w:t xml:space="preserve">Quelle: </w:t>
      </w:r>
      <w:r>
        <w:t>https://mcp.opencaselaw.ch/entscheid/vd_findinfo_HC___2016___166</w:t>
      </w:r>
    </w:p>
    <w:p>
      <w:r>
        <w:t>FR: VD_FINDINFO HC / 2016 / 166 du 28 janvier 2016</w:t>
      </w:r>
    </w:p>
    <w:p>
      <w:r>
        <w:t>IT: VD_FINDINFO HC / 2016 / 166 del 28 gennaio 2016</w:t>
      </w:r>
    </w:p>
    <w:p>
      <w:pPr>
        <w:pStyle w:val="Heading2"/>
      </w:pPr>
      <w:r>
        <w:t>Regeste</w:t>
      </w:r>
    </w:p>
    <w:p>
      <w:r>
        <w:t>DROIT D'OBTENIR UNE DÉCISION, DROIT D'ÊTRE ENTENDU, INTERDICTION DE L'ARBITRAIRE, PROCÈS ÉQUITABLE, AUTORISATION DE PROCÉDER | 209 CPC (CH), 212 CPC (CH), 319 let. c CPC (CH)</w:t>
      </w:r>
    </w:p>
    <w:p>
      <w:pPr>
        <w:pStyle w:val="Heading2"/>
      </w:pPr>
      <w:r>
        <w:t>Erwägungen</w:t>
      </w:r>
    </w:p>
    <w:p>
      <w:r>
        <w:rPr>
          <w:b/>
        </w:rPr>
        <w:t>E. 1.1</w:t>
      </w:r>
    </w:p>
    <w:p>
      <w:r>
        <w:t>Le CPC ne prévoit pas de voie de recours contre l’autorisation de procéder selon l’art. 209 CPC. Le Tribunal fédéral considère de manière générale que l'autorisation de procéder ne constitue pas une décision et qu'aucune voie de droit n'est ouverte à son encontre (ATF 139 III 273 consid. 2.3 et les références citées ; CREC 9 décembre 2014/432). Il s’ensuit qu’en tant qu’il porte sur la délivrance par la Commission de conciliation d’une autorisation de procéder en sa faveur, le recours formé par K.________ est irrecevable.</w:t>
      </w:r>
    </w:p>
    <w:p>
      <w:r>
        <w:rPr>
          <w:b/>
        </w:rPr>
        <w:t>E. 1.2</w:t>
      </w:r>
    </w:p>
    <w:p>
      <w:r>
        <w:t>L’art. 319 let. c CPC ouvre en revanche la voie du recours contre le retard injustifié du tribunal, ce recours pouvant être formé en tout temps (art. 321 al. 4 CPC). Il est de la compétence de la Chambre des recours civile (art. 73 al. 1 LOJV [loi vaudoise d’organisation judiciaire du 12 décembre 1979 ; RSV 173.01]). Interjeté par une partie qui y a un intérêt (art. 59 al. 2 let. a CPC), le recours pour déni de justice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w:t>
      </w:r>
    </w:p>
    <w:p>
      <w:r>
        <w:rPr>
          <w:b/>
        </w:rPr>
        <w:t>E. 3.1</w:t>
      </w:r>
    </w:p>
    <w:p>
      <w:r>
        <w:t>La recourante fait valoir une violation de l’art. 212 CPC. Invoquant également un déni de justice, elle soutient que la Commission de conciliation aurait dû rendre une décision, dès lors qu’il s’agissait d’une cause dont la valeur litigieuse ne dépassait pas 2'000 francs.</w:t>
      </w:r>
    </w:p>
    <w:p>
      <w:r>
        <w:rPr>
          <w:b/>
        </w:rPr>
        <w:t>E. 3.2.1</w:t>
      </w:r>
    </w:p>
    <w:p>
      <w:r>
        <w:t>Selon l’art. 212 al. 1 CPC, l’autorité de conciliation peut, sur requête du demandeur, statuer au fond dans les litiges patrimoniaux dont la valeur litigieuse ne dépasse pas 2'000 francs. Ainsi qu’il ressort du texte de cette disposition, il s’agit d’une faculté ( Kann-Vorschrift ) dont dispose l’autorité de conciliation et non d’une obligation (cf. Bohnet, CPC commenté, 2011, n. 3 ad art. 212 CPC).</w:t>
      </w:r>
    </w:p>
    <w:p>
      <w:r>
        <w:rPr>
          <w:b/>
        </w:rPr>
        <w:t>E. 3.2.2</w:t>
      </w:r>
    </w:p>
    <w:p>
      <w:r>
        <w:t>La notion de retard injustifié de l’art. 319 let. c CPC recouvre l’absence de décision constitutive de déni de justice (Freiburghaus/Afheldt, in Sutter-Somm/ Hasenböhler/Leuenberger, Kommentar zur Schweizerischen Zivilprozess-ordnung, 2 e éd., 2013, n. 17 ad art. 319 CPC). Elle est identique à la notion consacrée aux art. 94 et 100 al. 7 LTF (Loi sur le Tribunal fédéral du 17 juin 2005 ; RS 173.110 ; Tappy, Les voies de droit du nouveau Code de procédure civile, in JdT 2010 III 115, spéc. p. 153), qui posent comme critère le délai raisonnable au sens de l’art. 29 al. 1 Cst. (Constitution fédérale du 18 avril 1999 ; RS 101 ; Corboz, in Corboz et al., Commentaire de la LTF, 2014, n. 10 ad art. 94 LTF). Le caractère raisonnable ou adéquat du délai de décision s’apprécie au regard de la nature de l’affaire et de l’ensemble des circonstances (ATF 130 I 312 consid. 5.1 ; ATF 129 V 411 consid. 1.2). Sur recours de la partie instante, lorsque l’autorité tarde sans justification à instruire ou à se prononcer, le tribunal peut l’enjoindre de le faire sans délai (ATF 31 I 379 ; ATF 124 I 327 consid. 4b/bb).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et la référence citée).</w:t>
      </w:r>
    </w:p>
    <w:p>
      <w:r>
        <w:rPr>
          <w:b/>
        </w:rPr>
        <w:t>E. 3.3</w:t>
      </w:r>
    </w:p>
    <w:p>
      <w:r>
        <w:t>En l’espèce, il ressort expressément du chiffre 2 de la décision entreprise que la Commission de conciliation a renoncé, en l’absence de pièces suffisantes, à rendre une décision. La recourante ne saurait prétendre que les premiers juges auraient dû rendre une décision au fond. La simple lecture de la loi permet en effet de se rendre compte que l’art. 212 al. 1 CPC, par l’utilisation du verbe « pouvoir », confère une faculté à l’autorité de conciliation et non un devoir. Par ailleurs, l’oralité de la procédure (cf. art. 212 al. 2 CPC) ne dispense aucunement les parties de faire valoir, au moins sommairement, les moyens de preuve disponibles, notamment en produisant des pièces à l’appui de leurs prétentions. Un plaideur raisonnable ne peut, même implicitement, soutenir le contraire. Cela reviendrait en effet à prétendre qu’une décision judiciaire puisse être rendue même en l’absence de toute preuve. On relève enfin que, rendue immédiatement à la suite de l’audience de conciliation, la décision entreprise ne consacre en rien un déni de justice au sens de l’art. 29 al. 1 Cst.</w:t>
      </w:r>
    </w:p>
    <w:p>
      <w:r>
        <w:rPr>
          <w:b/>
        </w:rPr>
        <w:t>E. 4</w:t>
      </w:r>
    </w:p>
    <w:p>
      <w:r>
        <w:t>L’art. 128 al. 3 CPC prévoit que la partie ou son représentant qui usent de mauvaise foi ou de procédés téméraires sont punis d’une amende disciplinaire de 2'000 fr. au plus ; l’amende est de 5'000 fr. au plus en cas de récidive. En l’espèce, le recours, manifestement dépourvu de toute chance de succès, confine à l’absurde et n’est pas digne d’un mandataire professionnel. Toutefois, dès lors qu’il est probablement davantage la conséquence de carences en matière de connaissances juridiques que le résultat d’un procédé délibérément téméraire, la Cour de céans renonce à infliger une amende disciplinaire (art. 128 al. 3 CPC) au conseil de la recourante.</w:t>
      </w:r>
    </w:p>
    <w:p>
      <w:r>
        <w:rPr>
          <w:b/>
        </w:rPr>
        <w:t>E. 5</w:t>
      </w:r>
    </w:p>
    <w:p>
      <w:r>
        <w:t>Il résulte de ce qui précède que le recours doit être rejeté selon le mode procédural de l’art. 322 al. 1 CPC. Les frais judiciaires de deuxième instance, arrêtés à 100 fr. (art. 69 al. 1 TFJC [tarif des frais judiciaires civils du 28 septembre 2010 ; RSV 270.11.5]), doivent être mis à la charge de la recourante, qui succombe (art. 106 al. 1 CPC). Aucune réponse n’ayant été sollicitée, il n’y pas lieu d’accorder de dépens de deuxième instance. Par ces motifs, la Chambre des recours civile du Tribunal cantonal, prononce : I. Le recours est rejeté. II. Les frais judiciaires de deuxième instance, arrêtés à 100 fr. (cent francs), sont mis à la charge de la recourante K.________. III. L’arrêt motivé est exécutoire. Le président :               Le greffier : Du 1 er février 2016 Le dispositif de l'arrêt qui précède est communiqué par écrit aux intéressés. Le greffier : Du L'arrêt qui précède, dont la rédaction a été approuvée à huis clos, est notifié en expédition complète, par l'envoi de photocopies, à : ‑ M. […], aab. (pour Mme K.________) ‑ Mme […] , mandataire agréée ASLOCA (pour Mme A.________) La Chambre des recours civile considère que la valeur litigieuse est de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la : ‑ Commission de conciliation en matière de baux à loyer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