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163 vom 3. Februar 2016</w:t>
      </w:r>
    </w:p>
    <w:p>
      <w:r>
        <w:t>VD Tribunal cantonal, 2016-02-03, FR</w:t>
      </w:r>
    </w:p>
    <w:p>
      <w:r>
        <w:rPr>
          <w:b/>
        </w:rPr>
        <w:t xml:space="preserve">Quelle: </w:t>
      </w:r>
      <w:r>
        <w:t>https://mcp.opencaselaw.ch/entscheid/vd_findinfo_HC___2016___163</w:t>
      </w:r>
    </w:p>
    <w:p>
      <w:r>
        <w:t>FR: VD_FINDINFO HC / 2016 / 163 du 3 février 2016</w:t>
      </w:r>
    </w:p>
    <w:p>
      <w:r>
        <w:t>IT: VD_FINDINFO HC / 2016 / 163 del 3 febbraio 2016</w:t>
      </w:r>
    </w:p>
    <w:p>
      <w:pPr>
        <w:pStyle w:val="Heading2"/>
      </w:pPr>
      <w:r>
        <w:t>Regeste</w:t>
      </w:r>
    </w:p>
    <w:p>
      <w:r>
        <w:t>AVOCAT D'OFFICE, HONORAIRES, ASSISTANCE JUDICIAIRE | 122 al. 1 let. a CPC (CH), 2 al. 1 RAJ</w:t>
      </w:r>
    </w:p>
    <w:p>
      <w:pPr>
        <w:pStyle w:val="Heading2"/>
      </w:pPr>
      <w:r>
        <w:t>Erwägungen</w:t>
      </w:r>
    </w:p>
    <w:p>
      <w:r>
        <w:rPr>
          <w:b/>
        </w:rPr>
        <w:t>E. 1</w:t>
      </w:r>
    </w:p>
    <w:p>
      <w:r>
        <w:t>L’art. 110 CPC (Code de procédure civile du 19 décembre 2008; RS 210) ouvre la voie du recours séparé de l’art. 319 let. b ch. 1 CPC contre les décisions fixant l’indemnité du conseil d’office, cette indemnité étant considérée comme des frais au sens de l’art. 95 CPC (CREC 23 décembre 2015/441; CREC 15 avril 2014/140 ; Tappy, CPC commenté, 2011, n. 21 ad art. 122 CPC). L’art. 122 al. 1 let. a CPC règle la rémunération du conseil d’office. Cette disposition figure au chapitre qui réglemente l'assistance judiciaire et qui comprend les art. 117 à 123 CPC. Il s’ensuit que la procédure sommaire prévue par l’art. 119 al. 3 CPC est également applicable lorsque le tribunal statue sur l'indemnité du conseil d'office (CREC 23 décembre 2015/441; CREC 16 janvier 2015/375). Partant, le délai pour déposer un recours est de dix jours (art. 321 al. 2 CPC). En l'espèce, déposé en temps utile par une partie qui y a intérêt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Elle revoit librement les questions de droit soulevées par le recourant et peut substituer ses propres motifs à ceux de l’autorité précédente ou du recourant (HohI, Procédure civile, tome lI, 2 e éd., 2010, n. 2508, p. 452).</w:t>
      </w:r>
    </w:p>
    <w:p>
      <w:r>
        <w:rPr>
          <w:b/>
        </w:rPr>
        <w:t>E. 3.1</w:t>
      </w:r>
    </w:p>
    <w:p>
      <w:r>
        <w:t>Le recourant reproche au premier juge d'avoir arbitrairement, et parfois sans motivation, retranché près de 40% du nombre d'heures consacrées au dossier, figurant sur la liste d'opérations produite le 19 novembre 2015. Le premier juge aurait ainsi réduit à tort la durée des courriels à 10 minutes chacun et il aurait supprimé sans motif la comptabilisation des télécopies ainsi que celle liée à la transmission des mémos. Enfin, il aurait considéré à tort que la durée des téléphones avec le client était excessive et qu’il fallait la réduire à 12 heures, arrêtant la durée totale de l’activité consacrée au dossier à 34 heures.</w:t>
      </w:r>
    </w:p>
    <w:p>
      <w:r>
        <w:rPr>
          <w:b/>
        </w:rPr>
        <w:t>E. 3.2</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in Basler Kommentar, 2 e éd., 2013, nn. 5 à 7 ad art. 122 CPC, pp. 683-684).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let. a RAJ) et de 110 fr. pour un avocat-stagiaire (art. 2 let. b RAJ).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précité ; ATF 117 la 22 précité consid.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w:t>
      </w:r>
    </w:p>
    <w:p>
      <w:r>
        <w:rPr>
          <w:b/>
        </w:rPr>
        <w:t>E. 3.3</w:t>
      </w:r>
    </w:p>
    <w:p>
      <w:r>
        <w:t>Sur le principe, tout d'abord, c’est à juste titre que le premier juge a considérablement réduit la durée de certaines opérations. Il faut en effet constater que, dans le cadre d'une procédure provisionnelle qui a impliqué la rédaction d'un procédé écrit et la participation à une audience, ce qui, conférence avec le client, préparation de l'audience et correspondance avec le tribunal et la partie adverse inclus représente, selon la liste des opérations, un total de 15 heures, la proportion des opérations liées directement à la procédure judiciaire ne représente qu'un tiers de la durée totale facturée. Cela démontre déjà en soi que le temps consacré à renseigner le client et à discuter avec lui est manifestement excessif. La réduction du temps consacré par l'avocat aux mémos et aux téléphones avec son client s'impose donc dans les proportions retenues par le premier juge, car il s’agit d'opérations superflues ou inutiles. C’est ensuite à tort que le recourant fait valoir que le premier juge n’aurait pas motivé sa réduction concernant le temps consacré aux télécopies et aux « shl » (soit « short letters »), puisqu’il a indiqué expressément qu’'il s'agissait d’un pur travail de secrétariat. Le recourant échoue d'ailleurs à démontrer que les constatations du premier juge seraient à cet égard manifestement erronées, puisque le relevé des opérations comprend de nombreuses lettres à la partie adverse et à des tiers, de sorte que le premier juge n'avait pas à partir du principe qu’il s’agissait de courriers distincts n'ayant été envoyés que par fax. Il appartenait dès lors au recourant de le mentionner expressément dans son relevé, l’utilisation de la mention « télécopie » prêtant à confusion. C’est également en vain que le recourant se prévaut du temps consacré à la prise de connaissance des lettres de la partie adverse, ces opérations ne prenant que quelques instants, conformément à ce que retient la jurisprudence mentionnée par le premier juge. Enfin, c’est en vain également que le recourant invoque une inégalité de traitement avec la rémunération du conseil d'office de la partie adverse. Le rôle procédural des avocats n'étant pas le même, toute comparaison est vaine. Il apparait ainsi à l'examen du relevé des opérations de Me Druey que les opérations de rédaction des écritures déposées en justice ont pris plus de temps, ce qui s'explique par l'importance de la requête de mesures provisionnelles. Contrairement à ce que soutient le recourant le résultat auquel le premier juge est parvenu dans la rémunération respective des conseils d'office ne démontre donc pas l’arbitraire de la décision.</w:t>
      </w:r>
    </w:p>
    <w:p>
      <w:r>
        <w:rPr>
          <w:b/>
        </w:rPr>
        <w:t>E. 4</w:t>
      </w:r>
    </w:p>
    <w:p>
      <w:r>
        <w:t>février 2016 Le dispositif de l’arrêt qui précède est communiqué par écrit aux intéressés. La greffière : Du L'arrêt qui précède, dont la rédaction a été approuvée à huis clos, est notifié en expédition complète, par l'envoi de photocopies, à : ‑ Me Bertrand Demierre (pour l'avocat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