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162 vom 9. Februar 2016</w:t>
      </w:r>
    </w:p>
    <w:p>
      <w:r>
        <w:t>VD Tribunal cantonal, 2016-02-09, FR</w:t>
      </w:r>
    </w:p>
    <w:p>
      <w:r>
        <w:rPr>
          <w:b/>
        </w:rPr>
        <w:t xml:space="preserve">Quelle: </w:t>
      </w:r>
      <w:r>
        <w:t>https://mcp.opencaselaw.ch/entscheid/vd_findinfo_HC___2016___162</w:t>
      </w:r>
    </w:p>
    <w:p>
      <w:r>
        <w:t>FR: VD_FINDINFO HC / 2016 / 162 du 9 février 2016</w:t>
      </w:r>
    </w:p>
    <w:p>
      <w:r>
        <w:t>IT: VD_FINDINFO HC / 2016 / 162 del 9 febbraio 2016</w:t>
      </w:r>
    </w:p>
    <w:p>
      <w:pPr>
        <w:pStyle w:val="Heading2"/>
      </w:pPr>
      <w:r>
        <w:t>Regeste</w:t>
      </w:r>
    </w:p>
    <w:p>
      <w:r>
        <w:t>ASSISTANCE JUDICIAIRE, PREMIÈRE INSTANCE | 117 let. b CPC (CH)</w:t>
      </w:r>
    </w:p>
    <w:p>
      <w:pPr>
        <w:pStyle w:val="Heading2"/>
      </w:pPr>
      <w:r>
        <w:t>Erwägungen</w:t>
      </w:r>
    </w:p>
    <w:p>
      <w:r>
        <w:rPr>
          <w:b/>
        </w:rPr>
        <w:t>E. 1</w:t>
      </w:r>
    </w:p>
    <w:p>
      <w:r>
        <w:t>Selon l'art. 121 CPC, les décisions refusant ou retirant totalement ou partiellement l'assistance judiciaire peuvent faire l'objet d'un recours. Le recours de l'art. 319 let. b ch. 1 CPC est ainsi ouvert par renvoi de l'art. 121 CPC. En l'espèce, déposé en temps utile (art. 119 al. 3 et 321 al. 2 CPC) par une partie qui a un intérêt digne de protection (art. 59 al. 2 let. a CPC) et pourvu de conclusions suffisantes (art. 321 al. 1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3.1</w:t>
      </w:r>
    </w:p>
    <w:p>
      <w:r>
        <w:t>Le recourant soutient qu'il a été incarcéré indûment pendant 14 ans et plusieurs mois et qu'il doit être remboursé pour les dommages subis, à raison de 128'421 fr. pour le loyer de son appartement demeuré impayé et 47'000 fr. pour son véhicule [...] mis en fourrière. Il demande l'assistance d'un avocat afin de pouvoir obtenir réparation auprès de l'autorité compétente.</w:t>
      </w:r>
    </w:p>
    <w:p>
      <w:r>
        <w:rPr>
          <w:b/>
        </w:rPr>
        <w:t>E. 3.2</w:t>
      </w:r>
    </w:p>
    <w:p>
      <w:r>
        <w:t>Aux termes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Une procédure ne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 un procès n’est donc pas dépourvu de chances de succès lorsque celles-ci et les risques d’échec s’équilibrent à peu près ou lorsque les premières ne sont que légèrement inférieures aux secondes (ATF 133 II 614 consid. 5 ; ATF 129 I 129 consid. 2.3.1, JT 2005 IV 300 ; TF 4A_455/2010 du 20 octobre 2010 ; sur le tout : Tappy, CPC commenté, Bâle 2011, n. 31 ad art. 117 CPC et les réf. citées). L’examen des chances de succès suppose un pronostic au moment de la décision d’octroi ou de refus.</w:t>
      </w:r>
    </w:p>
    <w:p>
      <w:r>
        <w:rPr>
          <w:b/>
        </w:rPr>
        <w:t>E. 3.3</w:t>
      </w:r>
    </w:p>
    <w:p>
      <w:r>
        <w:t>En l'espèce, il n'est pas possible d'évaluer le fondement de la prétention que le recourant entend déduire en justice. En effet, en première instance, il a invoqué des frais de logement et de véhicule liés à une procédure de divorce, alors qu'il invoque les mêmes frais dans la procédure de recours, mais en lien avec une incarcération indue. Or, il appartient à la partie requérante de rendre vraisemblable le bien-fondé de sa prétention, soit les chances de succès du procès envisagé, cas échéant sur la base de pièces susceptibles d'étayer ses propos (TF 5A_380/2015 du 1 er juillet 2015, RSPC 6/2015 n. 1740, pp. 494 ss), ce que le recourant échoue à faire.</w:t>
      </w:r>
    </w:p>
    <w:p>
      <w:r>
        <w:rPr>
          <w:b/>
        </w:rPr>
        <w:t>E. 4</w:t>
      </w:r>
    </w:p>
    <w:p>
      <w:r>
        <w:t>Il s'ensuit que le recours doit être rejeté selon le mode procédural de l'art. 322 al. 1 CPC et la décision entreprise confirmée. Les frais judiciaires de deuxième instance sont arrêtés à 100 fr. (art. 69 al. 3 TFJC [tarif des frais judiciaires en matière civile du 28 septembre 2010 ; RSV 270.11.5]) et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T.________. IV. L'arrêt est exécutoire. Le président :               La greffière : Du L'arrêt qui précède, dont la rédaction a été approuvée à huis clos, est notifié en expédition complète, par l'envoi de photocopies, à : ‑ M.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